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line="46" w:lineRule="exact"/>
        <w:rPr>
          <w:sz w:val="24"/>
          <w:szCs w:val="24"/>
          <w:color w:val="auto"/>
        </w:rPr>
      </w:pPr>
      <w:r>
        <w:rPr>
          <w:sz w:val="24"/>
          <w:szCs w:val="24"/>
          <w:color w:val="auto"/>
        </w:rPr>
        <w:drawing>
          <wp:anchor simplePos="0" relativeHeight="251657728" behindDoc="1" locked="0" layoutInCell="0" allowOverlap="1">
            <wp:simplePos x="0" y="0"/>
            <wp:positionH relativeFrom="page">
              <wp:posOffset>195580</wp:posOffset>
            </wp:positionH>
            <wp:positionV relativeFrom="page">
              <wp:posOffset>144780</wp:posOffset>
            </wp:positionV>
            <wp:extent cx="7157720" cy="425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page">
              <wp:posOffset>195580</wp:posOffset>
            </wp:positionH>
            <wp:positionV relativeFrom="page">
              <wp:posOffset>453390</wp:posOffset>
            </wp:positionV>
            <wp:extent cx="7157720" cy="425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ind w:right="1239"/>
        <w:spacing w:after="0" w:line="277" w:lineRule="auto"/>
        <w:rPr>
          <w:sz w:val="20"/>
          <w:szCs w:val="20"/>
          <w:color w:val="auto"/>
        </w:rPr>
      </w:pPr>
      <w:r>
        <w:rPr>
          <w:rFonts w:ascii="Times New Roman" w:cs="Times New Roman" w:eastAsia="Times New Roman" w:hAnsi="Times New Roman"/>
          <w:sz w:val="43"/>
          <w:szCs w:val="43"/>
          <w:color w:val="auto"/>
        </w:rPr>
        <w:t>SECURITIES AND EXCHANGE COMMISSION Washington, D.C. 20549</w:t>
      </w:r>
    </w:p>
    <w:p>
      <w:pPr>
        <w:spacing w:after="0" w:line="400" w:lineRule="exact"/>
        <w:rPr>
          <w:sz w:val="24"/>
          <w:szCs w:val="24"/>
          <w:color w:val="auto"/>
        </w:rPr>
      </w:pPr>
    </w:p>
    <w:p>
      <w:pPr>
        <w:spacing w:after="0"/>
        <w:rPr>
          <w:sz w:val="20"/>
          <w:szCs w:val="20"/>
          <w:color w:val="auto"/>
        </w:rPr>
      </w:pPr>
      <w:r>
        <w:rPr>
          <w:rFonts w:ascii="Times New Roman" w:cs="Times New Roman" w:eastAsia="Times New Roman" w:hAnsi="Times New Roman"/>
          <w:sz w:val="32"/>
          <w:szCs w:val="32"/>
          <w:color w:val="auto"/>
        </w:rPr>
        <w:t>SCHEDULE 13G</w:t>
      </w:r>
    </w:p>
    <w:p>
      <w:pPr>
        <w:spacing w:after="0" w:line="200" w:lineRule="exact"/>
        <w:rPr>
          <w:sz w:val="24"/>
          <w:szCs w:val="24"/>
          <w:color w:val="auto"/>
        </w:rPr>
      </w:pPr>
    </w:p>
    <w:p>
      <w:pPr>
        <w:spacing w:after="0" w:line="346" w:lineRule="exact"/>
        <w:rPr>
          <w:sz w:val="24"/>
          <w:szCs w:val="24"/>
          <w:color w:val="auto"/>
        </w:rPr>
      </w:pPr>
    </w:p>
    <w:p>
      <w:pPr>
        <w:spacing w:after="0"/>
        <w:rPr>
          <w:sz w:val="20"/>
          <w:szCs w:val="20"/>
          <w:color w:val="auto"/>
        </w:rPr>
      </w:pPr>
      <w:r>
        <w:rPr>
          <w:rFonts w:ascii="Times New Roman" w:cs="Times New Roman" w:eastAsia="Times New Roman" w:hAnsi="Times New Roman"/>
          <w:sz w:val="26"/>
          <w:szCs w:val="26"/>
          <w:color w:val="auto"/>
        </w:rPr>
        <w:t>UNDER THE SECURITIES EXCHANGE ACT OF 1934</w:t>
      </w:r>
    </w:p>
    <w:p>
      <w:pPr>
        <w:spacing w:after="0" w:line="52" w:lineRule="exact"/>
        <w:rPr>
          <w:sz w:val="24"/>
          <w:szCs w:val="24"/>
          <w:color w:val="auto"/>
        </w:rPr>
      </w:pPr>
    </w:p>
    <w:p>
      <w:pPr>
        <w:ind w:left="3520"/>
        <w:spacing w:after="0"/>
        <w:rPr>
          <w:sz w:val="20"/>
          <w:szCs w:val="20"/>
          <w:color w:val="auto"/>
        </w:rPr>
      </w:pPr>
      <w:r>
        <w:rPr>
          <w:rFonts w:ascii="Times New Roman" w:cs="Times New Roman" w:eastAsia="Times New Roman" w:hAnsi="Times New Roman"/>
          <w:sz w:val="22"/>
          <w:szCs w:val="22"/>
          <w:b w:val="1"/>
          <w:bCs w:val="1"/>
          <w:color w:val="auto"/>
        </w:rPr>
        <w:t xml:space="preserve">(Amendment No. </w:t>
      </w:r>
      <w:r>
        <w:rPr>
          <w:rFonts w:ascii="Times New Roman" w:cs="Times New Roman" w:eastAsia="Times New Roman" w:hAnsi="Times New Roman"/>
          <w:sz w:val="22"/>
          <w:szCs w:val="22"/>
          <w:b w:val="1"/>
          <w:bCs w:val="1"/>
          <w:color w:val="0000FF"/>
        </w:rPr>
        <w:t>1</w:t>
      </w:r>
      <w:r>
        <w:rPr>
          <w:rFonts w:ascii="Times New Roman" w:cs="Times New Roman" w:eastAsia="Times New Roman" w:hAnsi="Times New Roman"/>
          <w:sz w:val="22"/>
          <w:szCs w:val="22"/>
          <w:b w:val="1"/>
          <w:bCs w:val="1"/>
          <w:color w:val="auto"/>
        </w:rPr>
        <w:t>)*</w:t>
      </w:r>
    </w:p>
    <w:p>
      <w:pPr>
        <w:spacing w:after="0" w:line="200" w:lineRule="exact"/>
        <w:rPr>
          <w:sz w:val="24"/>
          <w:szCs w:val="24"/>
          <w:color w:val="auto"/>
        </w:rPr>
      </w:pPr>
    </w:p>
    <w:p>
      <w:pPr>
        <w:spacing w:after="0" w:line="330" w:lineRule="exact"/>
        <w:rPr>
          <w:sz w:val="24"/>
          <w:szCs w:val="24"/>
          <w:color w:val="auto"/>
        </w:rPr>
      </w:pPr>
    </w:p>
    <w:p>
      <w:pPr>
        <w:jc w:val="center"/>
        <w:ind w:right="1119"/>
        <w:spacing w:after="0"/>
        <w:rPr>
          <w:sz w:val="20"/>
          <w:szCs w:val="20"/>
          <w:color w:val="auto"/>
        </w:rPr>
      </w:pPr>
      <w:r>
        <w:rPr>
          <w:rFonts w:ascii="Times New Roman" w:cs="Times New Roman" w:eastAsia="Times New Roman" w:hAnsi="Times New Roman"/>
          <w:sz w:val="22"/>
          <w:szCs w:val="22"/>
          <w:b w:val="1"/>
          <w:bCs w:val="1"/>
          <w:color w:val="0000FF"/>
        </w:rPr>
        <w:t>Luna Innovations Incorporated</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69215</wp:posOffset>
            </wp:positionV>
            <wp:extent cx="5717540" cy="425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717540" cy="42545"/>
                    </a:xfrm>
                    <a:prstGeom prst="rect">
                      <a:avLst/>
                    </a:prstGeom>
                    <a:noFill/>
                  </pic:spPr>
                </pic:pic>
              </a:graphicData>
            </a:graphic>
          </wp:anchor>
        </w:drawing>
      </w:r>
    </w:p>
    <w:p>
      <w:pPr>
        <w:spacing w:after="0" w:line="213" w:lineRule="exact"/>
        <w:rPr>
          <w:sz w:val="24"/>
          <w:szCs w:val="24"/>
          <w:color w:val="auto"/>
        </w:rPr>
      </w:pPr>
    </w:p>
    <w:p>
      <w:pPr>
        <w:ind w:left="3720"/>
        <w:spacing w:after="0"/>
        <w:rPr>
          <w:sz w:val="20"/>
          <w:szCs w:val="20"/>
          <w:color w:val="auto"/>
        </w:rPr>
      </w:pPr>
      <w:r>
        <w:rPr>
          <w:rFonts w:ascii="Times New Roman" w:cs="Times New Roman" w:eastAsia="Times New Roman" w:hAnsi="Times New Roman"/>
          <w:sz w:val="22"/>
          <w:szCs w:val="22"/>
          <w:b w:val="1"/>
          <w:bCs w:val="1"/>
          <w:color w:val="auto"/>
        </w:rPr>
        <w:t>(Name of Issuer)</w:t>
      </w:r>
    </w:p>
    <w:p>
      <w:pPr>
        <w:spacing w:after="0" w:line="200" w:lineRule="exact"/>
        <w:rPr>
          <w:sz w:val="24"/>
          <w:szCs w:val="24"/>
          <w:color w:val="auto"/>
        </w:rPr>
      </w:pPr>
    </w:p>
    <w:p>
      <w:pPr>
        <w:spacing w:after="0" w:line="330" w:lineRule="exact"/>
        <w:rPr>
          <w:sz w:val="24"/>
          <w:szCs w:val="24"/>
          <w:color w:val="auto"/>
        </w:rPr>
      </w:pPr>
    </w:p>
    <w:p>
      <w:pPr>
        <w:jc w:val="center"/>
        <w:ind w:right="1119"/>
        <w:spacing w:after="0"/>
        <w:rPr>
          <w:sz w:val="20"/>
          <w:szCs w:val="20"/>
          <w:color w:val="auto"/>
        </w:rPr>
      </w:pPr>
      <w:r>
        <w:rPr>
          <w:rFonts w:ascii="Times New Roman" w:cs="Times New Roman" w:eastAsia="Times New Roman" w:hAnsi="Times New Roman"/>
          <w:sz w:val="22"/>
          <w:szCs w:val="22"/>
          <w:b w:val="1"/>
          <w:bCs w:val="1"/>
          <w:color w:val="0000FF"/>
        </w:rPr>
        <w:t>Common Stock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69215</wp:posOffset>
            </wp:positionV>
            <wp:extent cx="5717540" cy="425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717540" cy="42545"/>
                    </a:xfrm>
                    <a:prstGeom prst="rect">
                      <a:avLst/>
                    </a:prstGeom>
                    <a:noFill/>
                  </pic:spPr>
                </pic:pic>
              </a:graphicData>
            </a:graphic>
          </wp:anchor>
        </w:drawing>
      </w:r>
    </w:p>
    <w:p>
      <w:pPr>
        <w:spacing w:after="0" w:line="213" w:lineRule="exact"/>
        <w:rPr>
          <w:sz w:val="24"/>
          <w:szCs w:val="24"/>
          <w:color w:val="auto"/>
        </w:rPr>
      </w:pPr>
    </w:p>
    <w:p>
      <w:pPr>
        <w:ind w:left="3220"/>
        <w:spacing w:after="0"/>
        <w:rPr>
          <w:sz w:val="20"/>
          <w:szCs w:val="20"/>
          <w:color w:val="auto"/>
        </w:rPr>
      </w:pPr>
      <w:r>
        <w:rPr>
          <w:rFonts w:ascii="Times New Roman" w:cs="Times New Roman" w:eastAsia="Times New Roman" w:hAnsi="Times New Roman"/>
          <w:sz w:val="22"/>
          <w:szCs w:val="22"/>
          <w:b w:val="1"/>
          <w:bCs w:val="1"/>
          <w:color w:val="auto"/>
        </w:rPr>
        <w:t>(Title of Class of Securities)</w:t>
      </w:r>
    </w:p>
    <w:p>
      <w:pPr>
        <w:spacing w:after="0" w:line="200" w:lineRule="exact"/>
        <w:rPr>
          <w:sz w:val="24"/>
          <w:szCs w:val="24"/>
          <w:color w:val="auto"/>
        </w:rPr>
      </w:pPr>
    </w:p>
    <w:p>
      <w:pPr>
        <w:spacing w:after="0" w:line="330" w:lineRule="exact"/>
        <w:rPr>
          <w:sz w:val="24"/>
          <w:szCs w:val="24"/>
          <w:color w:val="auto"/>
        </w:rPr>
      </w:pPr>
    </w:p>
    <w:p>
      <w:pPr>
        <w:jc w:val="center"/>
        <w:ind w:right="1119"/>
        <w:spacing w:after="0"/>
        <w:rPr>
          <w:sz w:val="20"/>
          <w:szCs w:val="20"/>
          <w:color w:val="auto"/>
        </w:rPr>
      </w:pPr>
      <w:r>
        <w:rPr>
          <w:rFonts w:ascii="Times New Roman" w:cs="Times New Roman" w:eastAsia="Times New Roman" w:hAnsi="Times New Roman"/>
          <w:sz w:val="22"/>
          <w:szCs w:val="22"/>
          <w:b w:val="1"/>
          <w:bCs w:val="1"/>
          <w:color w:val="0000FF"/>
        </w:rPr>
        <w:t>550351100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69215</wp:posOffset>
            </wp:positionV>
            <wp:extent cx="5717540" cy="425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5717540" cy="42545"/>
                    </a:xfrm>
                    <a:prstGeom prst="rect">
                      <a:avLst/>
                    </a:prstGeom>
                    <a:noFill/>
                  </pic:spPr>
                </pic:pic>
              </a:graphicData>
            </a:graphic>
          </wp:anchor>
        </w:drawing>
      </w:r>
    </w:p>
    <w:p>
      <w:pPr>
        <w:spacing w:after="0" w:line="213" w:lineRule="exact"/>
        <w:rPr>
          <w:sz w:val="24"/>
          <w:szCs w:val="24"/>
          <w:color w:val="auto"/>
        </w:rPr>
      </w:pPr>
    </w:p>
    <w:p>
      <w:pPr>
        <w:ind w:left="3680"/>
        <w:spacing w:after="0"/>
        <w:rPr>
          <w:sz w:val="20"/>
          <w:szCs w:val="20"/>
          <w:color w:val="auto"/>
        </w:rPr>
      </w:pPr>
      <w:r>
        <w:rPr>
          <w:rFonts w:ascii="Times New Roman" w:cs="Times New Roman" w:eastAsia="Times New Roman" w:hAnsi="Times New Roman"/>
          <w:sz w:val="22"/>
          <w:szCs w:val="22"/>
          <w:b w:val="1"/>
          <w:bCs w:val="1"/>
          <w:color w:val="auto"/>
        </w:rPr>
        <w:t>(CUSIP Number)</w:t>
      </w:r>
    </w:p>
    <w:p>
      <w:pPr>
        <w:spacing w:after="0" w:line="200" w:lineRule="exact"/>
        <w:rPr>
          <w:sz w:val="24"/>
          <w:szCs w:val="24"/>
          <w:color w:val="auto"/>
        </w:rPr>
      </w:pPr>
    </w:p>
    <w:p>
      <w:pPr>
        <w:spacing w:after="0" w:line="330" w:lineRule="exact"/>
        <w:rPr>
          <w:sz w:val="24"/>
          <w:szCs w:val="24"/>
          <w:color w:val="auto"/>
        </w:rPr>
      </w:pPr>
    </w:p>
    <w:p>
      <w:pPr>
        <w:jc w:val="center"/>
        <w:ind w:right="1119"/>
        <w:spacing w:after="0"/>
        <w:rPr>
          <w:sz w:val="20"/>
          <w:szCs w:val="20"/>
          <w:color w:val="auto"/>
        </w:rPr>
      </w:pPr>
      <w:r>
        <w:rPr>
          <w:rFonts w:ascii="Times New Roman" w:cs="Times New Roman" w:eastAsia="Times New Roman" w:hAnsi="Times New Roman"/>
          <w:sz w:val="22"/>
          <w:szCs w:val="22"/>
          <w:b w:val="1"/>
          <w:bCs w:val="1"/>
          <w:color w:val="0000FF"/>
        </w:rPr>
        <w:t>12/31/2025</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69215</wp:posOffset>
            </wp:positionV>
            <wp:extent cx="5717540" cy="425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5717540" cy="42545"/>
                    </a:xfrm>
                    <a:prstGeom prst="rect">
                      <a:avLst/>
                    </a:prstGeom>
                    <a:noFill/>
                  </pic:spPr>
                </pic:pic>
              </a:graphicData>
            </a:graphic>
          </wp:anchor>
        </w:drawing>
      </w:r>
    </w:p>
    <w:p>
      <w:pPr>
        <w:spacing w:after="0" w:line="213" w:lineRule="exact"/>
        <w:rPr>
          <w:sz w:val="24"/>
          <w:szCs w:val="24"/>
          <w:color w:val="auto"/>
        </w:rPr>
      </w:pPr>
    </w:p>
    <w:p>
      <w:pPr>
        <w:ind w:left="1920"/>
        <w:spacing w:after="0"/>
        <w:rPr>
          <w:sz w:val="20"/>
          <w:szCs w:val="20"/>
          <w:color w:val="auto"/>
        </w:rPr>
      </w:pPr>
      <w:r>
        <w:rPr>
          <w:rFonts w:ascii="Times New Roman" w:cs="Times New Roman" w:eastAsia="Times New Roman" w:hAnsi="Times New Roman"/>
          <w:sz w:val="22"/>
          <w:szCs w:val="22"/>
          <w:b w:val="1"/>
          <w:bCs w:val="1"/>
          <w:color w:val="auto"/>
        </w:rPr>
        <w:t>(Date of Event Which Requires Filing of this Statement)</w:t>
      </w:r>
    </w:p>
    <w:p>
      <w:pPr>
        <w:spacing w:after="0" w:line="200" w:lineRule="exact"/>
        <w:rPr>
          <w:sz w:val="24"/>
          <w:szCs w:val="24"/>
          <w:color w:val="auto"/>
        </w:rPr>
      </w:pPr>
    </w:p>
    <w:p>
      <w:pPr>
        <w:spacing w:after="0" w:line="361"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Check the appropriate box to designate the rule pursuant to which this Schedule is filed:</w:t>
      </w:r>
    </w:p>
    <w:p>
      <w:pPr>
        <w:spacing w:after="0" w:line="58" w:lineRule="exact"/>
        <w:rPr>
          <w:sz w:val="24"/>
          <w:szCs w:val="24"/>
          <w:color w:val="auto"/>
        </w:rPr>
      </w:pPr>
    </w:p>
    <w:p>
      <w:pPr>
        <w:ind w:left="380"/>
        <w:spacing w:after="0"/>
        <w:rPr>
          <w:sz w:val="20"/>
          <w:szCs w:val="20"/>
          <w:color w:val="auto"/>
        </w:rPr>
      </w:pPr>
      <w:r>
        <w:rPr>
          <w:rFonts w:ascii="Times New Roman" w:cs="Times New Roman" w:eastAsia="Times New Roman" w:hAnsi="Times New Roman"/>
          <w:sz w:val="22"/>
          <w:szCs w:val="22"/>
          <w:color w:val="auto"/>
        </w:rPr>
        <w:t>Rule 13d-1(b)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-151130</wp:posOffset>
            </wp:positionV>
            <wp:extent cx="128905" cy="12890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38" w:lineRule="exact"/>
        <w:rPr>
          <w:sz w:val="24"/>
          <w:szCs w:val="24"/>
          <w:color w:val="auto"/>
        </w:rPr>
      </w:pPr>
    </w:p>
    <w:p>
      <w:pPr>
        <w:ind w:left="380"/>
        <w:spacing w:after="0"/>
        <w:rPr>
          <w:sz w:val="20"/>
          <w:szCs w:val="20"/>
          <w:color w:val="auto"/>
        </w:rPr>
      </w:pPr>
      <w:r>
        <w:rPr>
          <w:rFonts w:ascii="Times New Roman" w:cs="Times New Roman" w:eastAsia="Times New Roman" w:hAnsi="Times New Roman"/>
          <w:sz w:val="22"/>
          <w:szCs w:val="22"/>
          <w:color w:val="auto"/>
        </w:rPr>
        <w:t>Rule 13d-1(c)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-151130</wp:posOffset>
            </wp:positionV>
            <wp:extent cx="128905" cy="12890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38" w:lineRule="exact"/>
        <w:rPr>
          <w:sz w:val="24"/>
          <w:szCs w:val="24"/>
          <w:color w:val="auto"/>
        </w:rPr>
      </w:pPr>
    </w:p>
    <w:p>
      <w:pPr>
        <w:ind w:left="380"/>
        <w:spacing w:after="0"/>
        <w:rPr>
          <w:sz w:val="20"/>
          <w:szCs w:val="20"/>
          <w:color w:val="auto"/>
        </w:rPr>
      </w:pPr>
      <w:r>
        <w:rPr>
          <w:rFonts w:ascii="Times New Roman" w:cs="Times New Roman" w:eastAsia="Times New Roman" w:hAnsi="Times New Roman"/>
          <w:sz w:val="22"/>
          <w:szCs w:val="22"/>
          <w:color w:val="auto"/>
        </w:rPr>
        <w:t>Rule 13d-1(d)</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-32385</wp:posOffset>
            </wp:positionH>
            <wp:positionV relativeFrom="paragraph">
              <wp:posOffset>92710</wp:posOffset>
            </wp:positionV>
            <wp:extent cx="7157720" cy="425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-32385</wp:posOffset>
            </wp:positionH>
            <wp:positionV relativeFrom="paragraph">
              <wp:posOffset>178435</wp:posOffset>
            </wp:positionV>
            <wp:extent cx="7157720" cy="425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-151130</wp:posOffset>
            </wp:positionV>
            <wp:extent cx="128905" cy="12890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13" w:lineRule="exact"/>
        <w:rPr>
          <w:sz w:val="24"/>
          <w:szCs w:val="24"/>
          <w:color w:val="auto"/>
        </w:rPr>
      </w:pPr>
    </w:p>
    <w:p>
      <w:pPr>
        <w:ind w:left="20"/>
        <w:spacing w:after="0"/>
        <w:rPr>
          <w:sz w:val="20"/>
          <w:szCs w:val="20"/>
          <w:color w:val="auto"/>
        </w:rPr>
      </w:pPr>
      <w:r>
        <w:rPr>
          <w:rFonts w:ascii="Times New Roman" w:cs="Times New Roman" w:eastAsia="Times New Roman" w:hAnsi="Times New Roman"/>
          <w:sz w:val="26"/>
          <w:szCs w:val="26"/>
          <w:color w:val="auto"/>
        </w:rPr>
        <w:t>SCHEDULE 13G</w:t>
      </w:r>
    </w:p>
    <w:p>
      <w:pPr>
        <w:spacing w:after="0" w:line="295"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 xml:space="preserve">CUSIP No. </w:t>
      </w:r>
      <w:r>
        <w:rPr>
          <w:rFonts w:ascii="Times New Roman" w:cs="Times New Roman" w:eastAsia="Times New Roman" w:hAnsi="Times New Roman"/>
          <w:sz w:val="19"/>
          <w:szCs w:val="19"/>
          <w:color w:val="auto"/>
        </w:rPr>
        <w:t>550351100</w:t>
      </w:r>
    </w:p>
    <w:p>
      <w:pPr>
        <w:spacing w:after="0" w:line="200" w:lineRule="exact"/>
        <w:rPr>
          <w:sz w:val="24"/>
          <w:szCs w:val="24"/>
          <w:color w:val="auto"/>
        </w:rPr>
      </w:pPr>
    </w:p>
    <w:p>
      <w:pPr>
        <w:spacing w:after="0" w:line="361" w:lineRule="exact"/>
        <w:rPr>
          <w:sz w:val="24"/>
          <w:szCs w:val="24"/>
          <w:color w:val="auto"/>
        </w:rPr>
      </w:pPr>
    </w:p>
    <w:p>
      <w:pPr>
        <w:ind w:left="1120"/>
        <w:spacing w:after="0"/>
        <w:rPr>
          <w:sz w:val="20"/>
          <w:szCs w:val="20"/>
          <w:color w:val="auto"/>
        </w:rPr>
      </w:pPr>
      <w:r>
        <w:rPr>
          <w:rFonts w:ascii="Times New Roman" w:cs="Times New Roman" w:eastAsia="Times New Roman" w:hAnsi="Times New Roman"/>
          <w:sz w:val="22"/>
          <w:szCs w:val="22"/>
          <w:color w:val="auto"/>
        </w:rPr>
        <w:t>Names of Reporting Persons</w:t>
      </w:r>
    </w:p>
    <w:p>
      <w:pPr>
        <w:spacing w:after="0" w:line="4"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1</w:t>
      </w:r>
    </w:p>
    <w:p>
      <w:pPr>
        <w:ind w:left="1120"/>
        <w:spacing w:after="0"/>
        <w:rPr>
          <w:sz w:val="20"/>
          <w:szCs w:val="20"/>
          <w:color w:val="auto"/>
        </w:rPr>
      </w:pPr>
      <w:r>
        <w:rPr>
          <w:rFonts w:ascii="Times New Roman" w:cs="Times New Roman" w:eastAsia="Times New Roman" w:hAnsi="Times New Roman"/>
          <w:sz w:val="22"/>
          <w:szCs w:val="22"/>
          <w:color w:val="auto"/>
        </w:rPr>
        <w:t>ROYCE &amp; ASSOCIATES LP</w:t>
      </w:r>
    </w:p>
    <w:p>
      <w:pPr>
        <w:spacing w:after="0" w:line="20" w:lineRule="exact"/>
        <w:rPr>
          <w:sz w:val="24"/>
          <w:szCs w:val="24"/>
          <w:color w:val="auto"/>
        </w:rPr>
      </w:pPr>
    </w:p>
    <w:p>
      <w:pPr>
        <w:ind w:left="1120"/>
        <w:spacing w:after="0"/>
        <w:rPr>
          <w:sz w:val="20"/>
          <w:szCs w:val="20"/>
          <w:color w:val="auto"/>
        </w:rPr>
      </w:pPr>
      <w:r>
        <w:rPr>
          <w:rFonts w:ascii="Times New Roman" w:cs="Times New Roman" w:eastAsia="Times New Roman" w:hAnsi="Times New Roman"/>
          <w:sz w:val="22"/>
          <w:szCs w:val="22"/>
          <w:color w:val="auto"/>
        </w:rPr>
        <w:t>Check the appropriate box if a member of a Group (see instructions)</w:t>
      </w:r>
    </w:p>
    <w:p>
      <w:pPr>
        <w:spacing w:after="0" w:line="33" w:lineRule="exact"/>
        <w:rPr>
          <w:sz w:val="24"/>
          <w:szCs w:val="24"/>
          <w:color w:val="auto"/>
        </w:rPr>
      </w:pPr>
    </w:p>
    <w:p>
      <w:pPr>
        <w:ind w:left="1120" w:hanging="1112"/>
        <w:spacing w:after="0"/>
        <w:tabs>
          <w:tab w:leader="none" w:pos="1120" w:val="left"/>
        </w:tabs>
        <w:numPr>
          <w:ilvl w:val="0"/>
          <w:numId w:val="1"/>
        </w:numPr>
        <w:rPr>
          <w:rFonts w:ascii="Times New Roman" w:cs="Times New Roman" w:eastAsia="Times New Roman" w:hAnsi="Times New Roman"/>
          <w:sz w:val="43"/>
          <w:szCs w:val="43"/>
          <w:color w:val="auto"/>
          <w:vertAlign w:val="superscript"/>
        </w:rPr>
      </w:pPr>
      <w:r>
        <w:rPr>
          <w:sz w:val="1"/>
          <w:szCs w:val="1"/>
          <w:color w:val="auto"/>
        </w:rPr>
        <w:drawing>
          <wp:inline distT="0" distB="0" distL="0" distR="0">
            <wp:extent cx="128905" cy="128905"/>
            <wp:effectExtent l="0" t="0" r="0" b="0"/>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w:t>
      </w:r>
    </w:p>
    <w:p>
      <w:pPr>
        <w:ind w:left="1120"/>
        <w:spacing w:after="0"/>
        <w:rPr>
          <w:rFonts w:ascii="Times New Roman" w:cs="Times New Roman" w:eastAsia="Times New Roman" w:hAnsi="Times New Roman"/>
          <w:sz w:val="43"/>
          <w:szCs w:val="43"/>
          <w:color w:val="auto"/>
          <w:vertAlign w:val="superscript"/>
        </w:rPr>
      </w:pPr>
      <w:r>
        <w:rPr>
          <w:rFonts w:ascii="Times New Roman" w:cs="Times New Roman" w:eastAsia="Times New Roman" w:hAnsi="Times New Roman"/>
          <w:sz w:val="1"/>
          <w:szCs w:val="1"/>
          <w:color w:val="auto"/>
          <w:vertAlign w:val="superscript"/>
        </w:rPr>
        <w:drawing>
          <wp:inline distT="0" distB="0" distL="0" distR="0">
            <wp:extent cx="128905" cy="128270"/>
            <wp:effectExtent l="0" t="0" r="0" b="0"/>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128905" cy="12827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(b)</w:t>
      </w:r>
    </w:p>
    <w:p>
      <w:pPr>
        <w:spacing w:after="0" w:line="30" w:lineRule="exact"/>
        <w:rPr>
          <w:sz w:val="24"/>
          <w:szCs w:val="24"/>
          <w:color w:val="auto"/>
        </w:rPr>
      </w:pPr>
    </w:p>
    <w:p>
      <w:pPr>
        <w:ind w:left="1120" w:hanging="1112"/>
        <w:spacing w:after="0"/>
        <w:tabs>
          <w:tab w:leader="none" w:pos="1120" w:val="left"/>
        </w:tabs>
        <w:numPr>
          <w:ilvl w:val="0"/>
          <w:numId w:val="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Sec Use Only</w:t>
      </w:r>
    </w:p>
    <w:p>
      <w:pPr>
        <w:spacing w:after="0" w:line="44" w:lineRule="exact"/>
        <w:rPr>
          <w:sz w:val="24"/>
          <w:szCs w:val="24"/>
          <w:color w:val="auto"/>
        </w:rPr>
      </w:pPr>
    </w:p>
    <w:p>
      <w:pPr>
        <w:ind w:left="1120"/>
        <w:spacing w:after="0"/>
        <w:rPr>
          <w:sz w:val="20"/>
          <w:szCs w:val="20"/>
          <w:color w:val="auto"/>
        </w:rPr>
      </w:pPr>
      <w:r>
        <w:rPr>
          <w:rFonts w:ascii="Times New Roman" w:cs="Times New Roman" w:eastAsia="Times New Roman" w:hAnsi="Times New Roman"/>
          <w:sz w:val="22"/>
          <w:szCs w:val="22"/>
          <w:color w:val="auto"/>
        </w:rPr>
        <w:t>Citizenship or Place of Organization</w:t>
      </w:r>
    </w:p>
    <w:p>
      <w:pPr>
        <w:spacing w:after="0" w:line="4"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4</w:t>
      </w:r>
    </w:p>
    <w:p>
      <w:pPr>
        <w:ind w:left="1120"/>
        <w:spacing w:after="0"/>
        <w:rPr>
          <w:sz w:val="20"/>
          <w:szCs w:val="20"/>
          <w:color w:val="auto"/>
        </w:rPr>
      </w:pPr>
      <w:r>
        <w:rPr>
          <w:rFonts w:ascii="Times New Roman" w:cs="Times New Roman" w:eastAsia="Times New Roman" w:hAnsi="Times New Roman"/>
          <w:sz w:val="22"/>
          <w:szCs w:val="22"/>
          <w:color w:val="auto"/>
        </w:rPr>
        <w:t>NEW YORK</w:t>
      </w:r>
    </w:p>
    <w:p>
      <w:pPr>
        <w:sectPr>
          <w:pgSz w:w="11900" w:h="16884" w:orient="portrait"/>
          <w:cols w:equalWidth="0" w:num="1">
            <w:col w:w="10099"/>
          </w:cols>
          <w:pgMar w:left="360" w:top="866" w:right="1440" w:bottom="0" w:gutter="0" w:footer="0" w:header="0"/>
        </w:sectPr>
      </w:pPr>
    </w:p>
    <w:bookmarkStart w:id="1" w:name="page2"/>
    <w:bookmarkEnd w:id="1"/>
    <w:p>
      <w:pPr>
        <w:spacing w:after="0" w:line="200" w:lineRule="exact"/>
        <w:rPr>
          <w:sz w:val="20"/>
          <w:szCs w:val="20"/>
          <w:color w:val="auto"/>
        </w:rPr>
      </w:pPr>
    </w:p>
    <w:p>
      <w:pPr>
        <w:spacing w:after="0" w:line="200" w:lineRule="exact"/>
        <w:rPr>
          <w:sz w:val="20"/>
          <w:szCs w:val="20"/>
          <w:color w:val="auto"/>
        </w:rPr>
      </w:pPr>
    </w:p>
    <w:p>
      <w:pPr>
        <w:spacing w:after="0" w:line="28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Number of</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Shares</w:t>
      </w:r>
    </w:p>
    <w:p>
      <w:pPr>
        <w:spacing w:after="0"/>
        <w:rPr>
          <w:sz w:val="20"/>
          <w:szCs w:val="20"/>
          <w:color w:val="auto"/>
        </w:rPr>
      </w:pPr>
      <w:r>
        <w:rPr>
          <w:rFonts w:ascii="Times New Roman" w:cs="Times New Roman" w:eastAsia="Times New Roman" w:hAnsi="Times New Roman"/>
          <w:sz w:val="21"/>
          <w:szCs w:val="21"/>
          <w:color w:val="auto"/>
        </w:rPr>
        <w:t>Beneficially</w:t>
      </w:r>
    </w:p>
    <w:p>
      <w:pPr>
        <w:spacing w:after="0" w:line="231" w:lineRule="auto"/>
        <w:rPr>
          <w:sz w:val="20"/>
          <w:szCs w:val="20"/>
          <w:color w:val="auto"/>
        </w:rPr>
      </w:pPr>
      <w:r>
        <w:rPr>
          <w:rFonts w:ascii="Times New Roman" w:cs="Times New Roman" w:eastAsia="Times New Roman" w:hAnsi="Times New Roman"/>
          <w:sz w:val="22"/>
          <w:szCs w:val="22"/>
          <w:color w:val="auto"/>
        </w:rPr>
        <w:t>Owned by</w:t>
      </w:r>
    </w:p>
    <w:p>
      <w:pPr>
        <w:spacing w:after="0" w:line="231" w:lineRule="auto"/>
        <w:rPr>
          <w:sz w:val="20"/>
          <w:szCs w:val="20"/>
          <w:color w:val="auto"/>
        </w:rPr>
      </w:pPr>
      <w:r>
        <w:rPr>
          <w:rFonts w:ascii="Times New Roman" w:cs="Times New Roman" w:eastAsia="Times New Roman" w:hAnsi="Times New Roman"/>
          <w:sz w:val="22"/>
          <w:szCs w:val="22"/>
          <w:color w:val="auto"/>
        </w:rPr>
        <w:t>Each</w:t>
      </w:r>
    </w:p>
    <w:p>
      <w:pPr>
        <w:spacing w:after="0" w:line="231" w:lineRule="auto"/>
        <w:rPr>
          <w:sz w:val="20"/>
          <w:szCs w:val="20"/>
          <w:color w:val="auto"/>
        </w:rPr>
      </w:pPr>
      <w:r>
        <w:rPr>
          <w:rFonts w:ascii="Times New Roman" w:cs="Times New Roman" w:eastAsia="Times New Roman" w:hAnsi="Times New Roman"/>
          <w:sz w:val="22"/>
          <w:szCs w:val="22"/>
          <w:color w:val="auto"/>
        </w:rPr>
        <w:t>Reporting</w:t>
      </w:r>
    </w:p>
    <w:p>
      <w:pPr>
        <w:spacing w:after="0" w:line="230" w:lineRule="auto"/>
        <w:rPr>
          <w:sz w:val="20"/>
          <w:szCs w:val="20"/>
          <w:color w:val="auto"/>
        </w:rPr>
      </w:pPr>
      <w:r>
        <w:rPr>
          <w:rFonts w:ascii="Times New Roman" w:cs="Times New Roman" w:eastAsia="Times New Roman" w:hAnsi="Times New Roman"/>
          <w:sz w:val="22"/>
          <w:szCs w:val="22"/>
          <w:color w:val="auto"/>
        </w:rPr>
        <w:t>Person</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With:</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9</w:t>
      </w:r>
    </w:p>
    <w:p>
      <w:pPr>
        <w:spacing w:after="0" w:line="200" w:lineRule="exact"/>
        <w:rPr>
          <w:sz w:val="20"/>
          <w:szCs w:val="20"/>
          <w:color w:val="auto"/>
        </w:rPr>
      </w:pPr>
    </w:p>
    <w:p>
      <w:pPr>
        <w:spacing w:after="0" w:line="30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10</w:t>
      </w:r>
    </w:p>
    <w:p>
      <w:pPr>
        <w:spacing w:after="0" w:line="200" w:lineRule="exact"/>
        <w:rPr>
          <w:sz w:val="20"/>
          <w:szCs w:val="20"/>
          <w:color w:val="auto"/>
        </w:rPr>
      </w:pPr>
    </w:p>
    <w:p>
      <w:pPr>
        <w:spacing w:after="0" w:line="31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11</w:t>
      </w:r>
    </w:p>
    <w:p>
      <w:pPr>
        <w:spacing w:after="0" w:line="200" w:lineRule="exact"/>
        <w:rPr>
          <w:sz w:val="20"/>
          <w:szCs w:val="20"/>
          <w:color w:val="auto"/>
        </w:rPr>
      </w:pPr>
    </w:p>
    <w:p>
      <w:pPr>
        <w:spacing w:after="0" w:line="33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12</w:t>
      </w:r>
    </w:p>
    <w:p>
      <w:pPr>
        <w:spacing w:after="0" w:line="20" w:lineRule="exact"/>
        <w:rPr>
          <w:sz w:val="20"/>
          <w:szCs w:val="20"/>
          <w:color w:val="auto"/>
        </w:rPr>
      </w:pPr>
      <w:r>
        <w:rPr>
          <w:sz w:val="20"/>
          <w:szCs w:val="20"/>
          <w:color w:val="auto"/>
        </w:rPr>
        <w:br w:type="column"/>
      </w:r>
    </w:p>
    <w:p>
      <w:pPr>
        <w:ind w:left="280"/>
        <w:spacing w:after="0"/>
        <w:rPr>
          <w:sz w:val="20"/>
          <w:szCs w:val="20"/>
          <w:color w:val="auto"/>
        </w:rPr>
      </w:pPr>
      <w:r>
        <w:rPr>
          <w:rFonts w:ascii="Times New Roman" w:cs="Times New Roman" w:eastAsia="Times New Roman" w:hAnsi="Times New Roman"/>
          <w:sz w:val="22"/>
          <w:szCs w:val="22"/>
          <w:color w:val="auto"/>
        </w:rPr>
        <w:t>Sole Voting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5</w:t>
      </w:r>
    </w:p>
    <w:p>
      <w:pPr>
        <w:ind w:left="280"/>
        <w:spacing w:after="0"/>
        <w:rPr>
          <w:sz w:val="20"/>
          <w:szCs w:val="20"/>
          <w:color w:val="auto"/>
        </w:rPr>
      </w:pPr>
      <w:r>
        <w:rPr>
          <w:rFonts w:ascii="Times New Roman" w:cs="Times New Roman" w:eastAsia="Times New Roman" w:hAnsi="Times New Roman"/>
          <w:sz w:val="22"/>
          <w:szCs w:val="22"/>
          <w:color w:val="auto"/>
        </w:rPr>
        <w:t>1,109,921.00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Shared Voting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6</w:t>
      </w:r>
    </w:p>
    <w:p>
      <w:pPr>
        <w:ind w:left="280"/>
        <w:spacing w:after="0"/>
        <w:rPr>
          <w:sz w:val="20"/>
          <w:szCs w:val="20"/>
          <w:color w:val="auto"/>
        </w:rPr>
      </w:pPr>
      <w:r>
        <w:rPr>
          <w:rFonts w:ascii="Times New Roman" w:cs="Times New Roman" w:eastAsia="Times New Roman" w:hAnsi="Times New Roman"/>
          <w:sz w:val="22"/>
          <w:szCs w:val="22"/>
          <w:color w:val="auto"/>
        </w:rPr>
        <w:t>0.00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Sole Dispositive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7</w:t>
      </w:r>
    </w:p>
    <w:p>
      <w:pPr>
        <w:ind w:left="280"/>
        <w:spacing w:after="0"/>
        <w:rPr>
          <w:sz w:val="20"/>
          <w:szCs w:val="20"/>
          <w:color w:val="auto"/>
        </w:rPr>
      </w:pPr>
      <w:r>
        <w:rPr>
          <w:rFonts w:ascii="Times New Roman" w:cs="Times New Roman" w:eastAsia="Times New Roman" w:hAnsi="Times New Roman"/>
          <w:sz w:val="22"/>
          <w:szCs w:val="22"/>
          <w:color w:val="auto"/>
        </w:rPr>
        <w:t>1,109,921.00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Shared Dispositive</w:t>
      </w:r>
    </w:p>
    <w:p>
      <w:pPr>
        <w:ind w:left="40"/>
        <w:spacing w:after="0" w:line="191" w:lineRule="auto"/>
        <w:rPr>
          <w:sz w:val="20"/>
          <w:szCs w:val="20"/>
          <w:color w:val="auto"/>
        </w:rPr>
      </w:pPr>
      <w:r>
        <w:rPr>
          <w:rFonts w:ascii="Times New Roman" w:cs="Times New Roman" w:eastAsia="Times New Roman" w:hAnsi="Times New Roman"/>
          <w:sz w:val="43"/>
          <w:szCs w:val="43"/>
          <w:color w:val="auto"/>
          <w:vertAlign w:val="subscript"/>
        </w:rPr>
        <w:t>8</w:t>
      </w:r>
      <w:r>
        <w:rPr>
          <w:rFonts w:ascii="Times New Roman" w:cs="Times New Roman" w:eastAsia="Times New Roman" w:hAnsi="Times New Roman"/>
          <w:sz w:val="22"/>
          <w:szCs w:val="22"/>
          <w:color w:val="auto"/>
        </w:rPr>
        <w:t xml:space="preserve"> Power</w:t>
      </w:r>
    </w:p>
    <w:p>
      <w:pPr>
        <w:spacing w:after="0" w:line="83"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0.00</w:t>
      </w:r>
    </w:p>
    <w:p>
      <w:pPr>
        <w:spacing w:after="0" w:line="8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Aggregate Amount Beneficially Owned by Each Reporting Person</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1,109,921.00</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Check box if the aggregate amount in row (9) excludes certain shares (See Instructions)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172720</wp:posOffset>
            </wp:positionV>
            <wp:extent cx="128905" cy="12890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00" w:lineRule="exact"/>
        <w:rPr>
          <w:sz w:val="20"/>
          <w:szCs w:val="20"/>
          <w:color w:val="auto"/>
        </w:rPr>
      </w:pPr>
    </w:p>
    <w:p>
      <w:pPr>
        <w:spacing w:after="0" w:line="28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Percent of class represented by amount in row (9)</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3.27 %</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Type of Reporting Person (See Instructions)</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IA</w:t>
      </w:r>
    </w:p>
    <w:p>
      <w:pPr>
        <w:spacing w:after="0" w:line="200" w:lineRule="exact"/>
        <w:rPr>
          <w:sz w:val="20"/>
          <w:szCs w:val="20"/>
          <w:color w:val="auto"/>
        </w:rPr>
      </w:pPr>
    </w:p>
    <w:p>
      <w:pPr>
        <w:sectPr>
          <w:pgSz w:w="11900" w:h="16838" w:orient="portrait"/>
          <w:cols w:equalWidth="0" w:num="2">
            <w:col w:w="1060" w:space="60"/>
            <w:col w:w="9520"/>
          </w:cols>
          <w:pgMar w:left="360" w:top="166" w:right="899" w:bottom="0" w:gutter="0" w:footer="0" w:header="0"/>
        </w:sectPr>
      </w:pPr>
    </w:p>
    <w:p>
      <w:pPr>
        <w:spacing w:after="0" w:line="200" w:lineRule="exact"/>
        <w:rPr>
          <w:sz w:val="20"/>
          <w:szCs w:val="20"/>
          <w:color w:val="auto"/>
        </w:rPr>
      </w:pPr>
    </w:p>
    <w:p>
      <w:pPr>
        <w:spacing w:after="0" w:line="369" w:lineRule="exact"/>
        <w:rPr>
          <w:sz w:val="20"/>
          <w:szCs w:val="20"/>
          <w:color w:val="auto"/>
        </w:rPr>
      </w:pPr>
    </w:p>
    <w:p>
      <w:pPr>
        <w:ind w:left="20"/>
        <w:spacing w:after="0"/>
        <w:rPr>
          <w:sz w:val="20"/>
          <w:szCs w:val="20"/>
          <w:color w:val="auto"/>
        </w:rPr>
      </w:pPr>
      <w:r>
        <w:rPr>
          <w:rFonts w:ascii="Times New Roman" w:cs="Times New Roman" w:eastAsia="Times New Roman" w:hAnsi="Times New Roman"/>
          <w:sz w:val="26"/>
          <w:szCs w:val="26"/>
          <w:color w:val="auto"/>
        </w:rPr>
        <w:t>SCHEDULE 13G</w:t>
      </w:r>
    </w:p>
    <w:p>
      <w:pPr>
        <w:spacing w:after="0" w:line="299"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Item 1.</w:t>
      </w:r>
    </w:p>
    <w:p>
      <w:pPr>
        <w:spacing w:after="0" w:line="44"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Name of issuer:</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w:t>
      </w:r>
    </w:p>
    <w:p>
      <w:pPr>
        <w:ind w:left="920"/>
        <w:spacing w:after="0"/>
        <w:rPr>
          <w:sz w:val="20"/>
          <w:szCs w:val="20"/>
          <w:color w:val="auto"/>
        </w:rPr>
      </w:pPr>
      <w:r>
        <w:rPr>
          <w:rFonts w:ascii="Times New Roman" w:cs="Times New Roman" w:eastAsia="Times New Roman" w:hAnsi="Times New Roman"/>
          <w:sz w:val="22"/>
          <w:szCs w:val="22"/>
          <w:color w:val="auto"/>
        </w:rPr>
        <w:t>Luna Innovations Incorporated</w:t>
      </w:r>
    </w:p>
    <w:p>
      <w:pPr>
        <w:spacing w:after="0" w:line="20"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Address of issuer's principal executive offices:</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(b)</w:t>
      </w:r>
    </w:p>
    <w:p>
      <w:pPr>
        <w:ind w:left="920"/>
        <w:spacing w:after="0"/>
        <w:rPr>
          <w:sz w:val="20"/>
          <w:szCs w:val="20"/>
          <w:color w:val="auto"/>
        </w:rPr>
      </w:pPr>
      <w:r>
        <w:rPr>
          <w:rFonts w:ascii="Times New Roman" w:cs="Times New Roman" w:eastAsia="Times New Roman" w:hAnsi="Times New Roman"/>
          <w:sz w:val="22"/>
          <w:szCs w:val="22"/>
          <w:color w:val="auto"/>
        </w:rPr>
        <w:t>301 First Street SW Suite 200, Roanoke, VA, 24011</w:t>
      </w:r>
    </w:p>
    <w:p>
      <w:pPr>
        <w:spacing w:after="0" w:line="2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Item 2.</w:t>
      </w:r>
    </w:p>
    <w:p>
      <w:pPr>
        <w:spacing w:after="0" w:line="44"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Name of person filing:</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w:t>
      </w:r>
    </w:p>
    <w:p>
      <w:pPr>
        <w:ind w:left="920"/>
        <w:spacing w:after="0"/>
        <w:rPr>
          <w:sz w:val="20"/>
          <w:szCs w:val="20"/>
          <w:color w:val="auto"/>
        </w:rPr>
      </w:pPr>
      <w:r>
        <w:rPr>
          <w:rFonts w:ascii="Times New Roman" w:cs="Times New Roman" w:eastAsia="Times New Roman" w:hAnsi="Times New Roman"/>
          <w:sz w:val="22"/>
          <w:szCs w:val="22"/>
          <w:color w:val="auto"/>
        </w:rPr>
        <w:t>ROYCE &amp; ASSOCIATES LP</w:t>
      </w:r>
    </w:p>
    <w:p>
      <w:pPr>
        <w:spacing w:after="0" w:line="20"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Address or principal business office or, if none, residence:</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(b)</w:t>
      </w:r>
    </w:p>
    <w:p>
      <w:pPr>
        <w:ind w:left="920"/>
        <w:spacing w:after="0"/>
        <w:rPr>
          <w:sz w:val="20"/>
          <w:szCs w:val="20"/>
          <w:color w:val="auto"/>
        </w:rPr>
      </w:pPr>
      <w:r>
        <w:rPr>
          <w:rFonts w:ascii="Times New Roman" w:cs="Times New Roman" w:eastAsia="Times New Roman" w:hAnsi="Times New Roman"/>
          <w:sz w:val="22"/>
          <w:szCs w:val="22"/>
          <w:color w:val="auto"/>
        </w:rPr>
        <w:t>One Madison Avenue, New York, NY 10010</w:t>
      </w:r>
    </w:p>
    <w:p>
      <w:pPr>
        <w:spacing w:after="0" w:line="20"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Citizenship:</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w:t>
      </w:r>
    </w:p>
    <w:p>
      <w:pPr>
        <w:ind w:left="920"/>
        <w:spacing w:after="0"/>
        <w:rPr>
          <w:sz w:val="20"/>
          <w:szCs w:val="20"/>
          <w:color w:val="auto"/>
        </w:rPr>
      </w:pPr>
      <w:r>
        <w:rPr>
          <w:rFonts w:ascii="Times New Roman" w:cs="Times New Roman" w:eastAsia="Times New Roman" w:hAnsi="Times New Roman"/>
          <w:sz w:val="22"/>
          <w:szCs w:val="22"/>
          <w:color w:val="auto"/>
        </w:rPr>
        <w:t>New York Corporation</w:t>
      </w:r>
    </w:p>
    <w:p>
      <w:pPr>
        <w:spacing w:after="0" w:line="20"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Title of class of securities:</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(d)</w:t>
      </w:r>
    </w:p>
    <w:p>
      <w:pPr>
        <w:ind w:left="920"/>
        <w:spacing w:after="0"/>
        <w:rPr>
          <w:sz w:val="20"/>
          <w:szCs w:val="20"/>
          <w:color w:val="auto"/>
        </w:rPr>
      </w:pPr>
      <w:r>
        <w:rPr>
          <w:rFonts w:ascii="Times New Roman" w:cs="Times New Roman" w:eastAsia="Times New Roman" w:hAnsi="Times New Roman"/>
          <w:sz w:val="22"/>
          <w:szCs w:val="22"/>
          <w:color w:val="auto"/>
        </w:rPr>
        <w:t>Common Stock</w:t>
      </w:r>
    </w:p>
    <w:p>
      <w:pPr>
        <w:spacing w:after="0" w:line="20"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CUSIP No.:</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(e)</w:t>
      </w:r>
    </w:p>
    <w:p>
      <w:pPr>
        <w:ind w:left="920"/>
        <w:spacing w:after="0"/>
        <w:rPr>
          <w:sz w:val="20"/>
          <w:szCs w:val="20"/>
          <w:color w:val="auto"/>
        </w:rPr>
      </w:pPr>
      <w:r>
        <w:rPr>
          <w:rFonts w:ascii="Times New Roman" w:cs="Times New Roman" w:eastAsia="Times New Roman" w:hAnsi="Times New Roman"/>
          <w:sz w:val="22"/>
          <w:szCs w:val="22"/>
          <w:color w:val="auto"/>
        </w:rPr>
        <w:t>550351100</w:t>
      </w:r>
    </w:p>
    <w:p>
      <w:pPr>
        <w:spacing w:after="0" w:line="20" w:lineRule="exact"/>
        <w:rPr>
          <w:sz w:val="20"/>
          <w:szCs w:val="20"/>
          <w:color w:val="auto"/>
        </w:rPr>
      </w:pPr>
    </w:p>
    <w:p>
      <w:pPr>
        <w:spacing w:after="0"/>
        <w:tabs>
          <w:tab w:leader="none" w:pos="900" w:val="left"/>
        </w:tabs>
        <w:rPr>
          <w:sz w:val="20"/>
          <w:szCs w:val="20"/>
          <w:color w:val="auto"/>
        </w:rPr>
      </w:pPr>
      <w:r>
        <w:rPr>
          <w:rFonts w:ascii="Times New Roman" w:cs="Times New Roman" w:eastAsia="Times New Roman" w:hAnsi="Times New Roman"/>
          <w:sz w:val="22"/>
          <w:szCs w:val="22"/>
          <w:color w:val="auto"/>
        </w:rPr>
        <w:t>Item 3.</w:t>
      </w:r>
      <w:r>
        <w:rPr>
          <w:sz w:val="20"/>
          <w:szCs w:val="20"/>
          <w:color w:val="auto"/>
        </w:rPr>
        <w:tab/>
      </w:r>
      <w:r>
        <w:rPr>
          <w:rFonts w:ascii="Times New Roman" w:cs="Times New Roman" w:eastAsia="Times New Roman" w:hAnsi="Times New Roman"/>
          <w:sz w:val="21"/>
          <w:szCs w:val="21"/>
          <w:color w:val="auto"/>
        </w:rPr>
        <w:t>If this statement is filed pursuant to §§ 240.13d-1(b) or 240.13d-2(b) or (c), check whether the person filing is a:</w:t>
      </w:r>
    </w:p>
    <w:p>
      <w:pPr>
        <w:spacing w:after="0" w:line="58" w:lineRule="exact"/>
        <w:rPr>
          <w:sz w:val="20"/>
          <w:szCs w:val="20"/>
          <w:color w:val="auto"/>
        </w:rPr>
      </w:pPr>
    </w:p>
    <w:p>
      <w:pPr>
        <w:ind w:left="920" w:hanging="912"/>
        <w:spacing w:after="0"/>
        <w:tabs>
          <w:tab w:leader="none" w:pos="920" w:val="left"/>
        </w:tabs>
        <w:numPr>
          <w:ilvl w:val="0"/>
          <w:numId w:val="3"/>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Broker or dealer registered under section 15 of the Act (15 U.S.C. 78o);</w:t>
      </w:r>
    </w:p>
    <w:p>
      <w:pPr>
        <w:spacing w:after="0" w:line="57" w:lineRule="exact"/>
        <w:rPr>
          <w:rFonts w:ascii="Times New Roman" w:cs="Times New Roman" w:eastAsia="Times New Roman" w:hAnsi="Times New Roman"/>
          <w:sz w:val="22"/>
          <w:szCs w:val="22"/>
          <w:color w:val="auto"/>
        </w:rPr>
      </w:pPr>
    </w:p>
    <w:p>
      <w:pPr>
        <w:ind w:left="920" w:hanging="912"/>
        <w:spacing w:after="0"/>
        <w:tabs>
          <w:tab w:leader="none" w:pos="920" w:val="left"/>
        </w:tabs>
        <w:numPr>
          <w:ilvl w:val="0"/>
          <w:numId w:val="3"/>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270"/>
            <wp:effectExtent l="0" t="0" r="0" b="0"/>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128905" cy="12827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Bank as defined in section 3(a)(6) of the Act (15 U.S.C. 78c);</w:t>
      </w:r>
    </w:p>
    <w:p>
      <w:pPr>
        <w:spacing w:after="0" w:line="57" w:lineRule="exact"/>
        <w:rPr>
          <w:rFonts w:ascii="Times New Roman" w:cs="Times New Roman" w:eastAsia="Times New Roman" w:hAnsi="Times New Roman"/>
          <w:sz w:val="22"/>
          <w:szCs w:val="22"/>
          <w:color w:val="auto"/>
        </w:rPr>
      </w:pPr>
    </w:p>
    <w:p>
      <w:pPr>
        <w:ind w:left="920" w:hanging="912"/>
        <w:spacing w:after="0"/>
        <w:tabs>
          <w:tab w:leader="none" w:pos="920" w:val="left"/>
        </w:tabs>
        <w:numPr>
          <w:ilvl w:val="0"/>
          <w:numId w:val="3"/>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Insurance company as defined in section 3(a)(19) of the Act (15 U.S.C. 78c);</w:t>
      </w:r>
    </w:p>
    <w:p>
      <w:pPr>
        <w:spacing w:after="0" w:line="57" w:lineRule="exact"/>
        <w:rPr>
          <w:rFonts w:ascii="Times New Roman" w:cs="Times New Roman" w:eastAsia="Times New Roman" w:hAnsi="Times New Roman"/>
          <w:sz w:val="22"/>
          <w:szCs w:val="22"/>
          <w:color w:val="auto"/>
        </w:rPr>
      </w:pPr>
    </w:p>
    <w:p>
      <w:pPr>
        <w:ind w:left="920" w:hanging="912"/>
        <w:spacing w:after="0"/>
        <w:tabs>
          <w:tab w:leader="none" w:pos="920" w:val="left"/>
        </w:tabs>
        <w:numPr>
          <w:ilvl w:val="0"/>
          <w:numId w:val="3"/>
        </w:numPr>
        <w:rPr>
          <w:rFonts w:ascii="Times New Roman" w:cs="Times New Roman" w:eastAsia="Times New Roman" w:hAnsi="Times New Roman"/>
          <w:sz w:val="21"/>
          <w:szCs w:val="21"/>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1"/>
          <w:szCs w:val="21"/>
          <w:color w:val="auto"/>
        </w:rPr>
        <w:t xml:space="preserve">  Investment company registered under section 8 of the Investment Company Act of 1940 (15 U.S.C. 80a-8);</w:t>
      </w:r>
    </w:p>
    <w:p>
      <w:pPr>
        <w:spacing w:after="0" w:line="62" w:lineRule="exact"/>
        <w:rPr>
          <w:rFonts w:ascii="Times New Roman" w:cs="Times New Roman" w:eastAsia="Times New Roman" w:hAnsi="Times New Roman"/>
          <w:sz w:val="21"/>
          <w:szCs w:val="21"/>
          <w:color w:val="auto"/>
        </w:rPr>
      </w:pPr>
    </w:p>
    <w:p>
      <w:pPr>
        <w:ind w:left="920" w:hanging="912"/>
        <w:spacing w:after="0"/>
        <w:tabs>
          <w:tab w:leader="none" w:pos="920" w:val="left"/>
        </w:tabs>
        <w:numPr>
          <w:ilvl w:val="0"/>
          <w:numId w:val="3"/>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270"/>
            <wp:effectExtent l="0" t="0" r="0" b="0"/>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128905" cy="12827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An investment adviser in accordance with § 240.13d-1(b)(1)(ii)(E);</w:t>
      </w:r>
    </w:p>
    <w:p>
      <w:pPr>
        <w:spacing w:after="0" w:line="57" w:lineRule="exact"/>
        <w:rPr>
          <w:rFonts w:ascii="Times New Roman" w:cs="Times New Roman" w:eastAsia="Times New Roman" w:hAnsi="Times New Roman"/>
          <w:sz w:val="22"/>
          <w:szCs w:val="22"/>
          <w:color w:val="auto"/>
        </w:rPr>
      </w:pPr>
    </w:p>
    <w:p>
      <w:pPr>
        <w:ind w:left="920" w:hanging="912"/>
        <w:spacing w:after="0"/>
        <w:tabs>
          <w:tab w:leader="none" w:pos="920" w:val="left"/>
        </w:tabs>
        <w:numPr>
          <w:ilvl w:val="0"/>
          <w:numId w:val="3"/>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An employee benefit plan or endowment fund in accordance with § 240.13d-1(b)(1)(ii)(F);</w:t>
      </w:r>
    </w:p>
    <w:p>
      <w:pPr>
        <w:spacing w:after="0" w:line="57" w:lineRule="exact"/>
        <w:rPr>
          <w:rFonts w:ascii="Times New Roman" w:cs="Times New Roman" w:eastAsia="Times New Roman" w:hAnsi="Times New Roman"/>
          <w:sz w:val="22"/>
          <w:szCs w:val="22"/>
          <w:color w:val="auto"/>
        </w:rPr>
      </w:pPr>
    </w:p>
    <w:p>
      <w:pPr>
        <w:ind w:left="920" w:hanging="912"/>
        <w:spacing w:after="0"/>
        <w:tabs>
          <w:tab w:leader="none" w:pos="920" w:val="left"/>
        </w:tabs>
        <w:numPr>
          <w:ilvl w:val="0"/>
          <w:numId w:val="3"/>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270"/>
            <wp:effectExtent l="0" t="0" r="0" b="0"/>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128905" cy="12827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 parent holding company or control person in accordance with § 240.13d-1(b)(1)(ii)(G);</w:t>
      </w:r>
    </w:p>
    <w:p>
      <w:pPr>
        <w:sectPr>
          <w:pgSz w:w="11900" w:h="16838" w:orient="portrait"/>
          <w:cols w:equalWidth="0" w:num="1">
            <w:col w:w="10640"/>
          </w:cols>
          <w:pgMar w:left="360" w:top="166" w:right="899" w:bottom="0" w:gutter="0" w:footer="0" w:header="0"/>
          <w:type w:val="continuous"/>
        </w:sectPr>
      </w:pPr>
    </w:p>
    <w:bookmarkStart w:id="2" w:name="page3"/>
    <w:bookmarkEnd w:id="2"/>
    <w:p>
      <w:pPr>
        <w:spacing w:after="0" w:line="78" w:lineRule="exact"/>
        <w:rPr>
          <w:sz w:val="20"/>
          <w:szCs w:val="20"/>
          <w:color w:val="auto"/>
        </w:rPr>
      </w:pPr>
    </w:p>
    <w:p>
      <w:pPr>
        <w:ind w:left="920" w:hanging="912"/>
        <w:spacing w:after="0"/>
        <w:tabs>
          <w:tab w:leader="none" w:pos="920" w:val="left"/>
        </w:tabs>
        <w:numPr>
          <w:ilvl w:val="0"/>
          <w:numId w:val="4"/>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 savings associations as defined in Section 3(b) of the Federal Deposit Insurance Act (12 U.S.C. 1813);</w:t>
      </w:r>
    </w:p>
    <w:p>
      <w:pPr>
        <w:spacing w:after="0" w:line="57" w:lineRule="exact"/>
        <w:rPr>
          <w:rFonts w:ascii="Times New Roman" w:cs="Times New Roman" w:eastAsia="Times New Roman" w:hAnsi="Times New Roman"/>
          <w:sz w:val="22"/>
          <w:szCs w:val="22"/>
          <w:color w:val="auto"/>
        </w:rPr>
      </w:pPr>
    </w:p>
    <w:p>
      <w:pPr>
        <w:ind w:left="920" w:right="680" w:hanging="912"/>
        <w:spacing w:after="0" w:line="185" w:lineRule="auto"/>
        <w:tabs>
          <w:tab w:leader="none" w:pos="920" w:val="left"/>
        </w:tabs>
        <w:numPr>
          <w:ilvl w:val="0"/>
          <w:numId w:val="4"/>
        </w:numPr>
        <w:rPr>
          <w:rFonts w:ascii="Times New Roman" w:cs="Times New Roman" w:eastAsia="Times New Roman" w:hAnsi="Times New Roman"/>
          <w:sz w:val="39"/>
          <w:szCs w:val="39"/>
          <w:color w:val="auto"/>
          <w:vertAlign w:val="subscript"/>
        </w:rPr>
      </w:pPr>
      <w:r>
        <w:rPr>
          <w:sz w:val="1"/>
          <w:szCs w:val="1"/>
          <w:color w:val="auto"/>
        </w:rPr>
        <w:drawing>
          <wp:inline distT="0" distB="0" distL="0" distR="0">
            <wp:extent cx="128905" cy="128905"/>
            <wp:effectExtent l="0" t="0" r="0" b="0"/>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0"/>
          <w:szCs w:val="20"/>
          <w:color w:val="auto"/>
        </w:rPr>
        <w:t xml:space="preserve"> A church plan that is excluded from the definition of an investment company under section 3(c)(14) of the Investment Company Act of 1940 (15 U.S.C. 80a-3);</w:t>
      </w:r>
    </w:p>
    <w:p>
      <w:pPr>
        <w:spacing w:after="0" w:line="30" w:lineRule="exact"/>
        <w:rPr>
          <w:rFonts w:ascii="Times New Roman" w:cs="Times New Roman" w:eastAsia="Times New Roman" w:hAnsi="Times New Roman"/>
          <w:sz w:val="39"/>
          <w:szCs w:val="39"/>
          <w:color w:val="auto"/>
          <w:vertAlign w:val="subscript"/>
        </w:rPr>
      </w:pPr>
    </w:p>
    <w:p>
      <w:pPr>
        <w:ind w:left="920"/>
        <w:spacing w:after="0"/>
        <w:rPr>
          <w:rFonts w:ascii="Times New Roman" w:cs="Times New Roman" w:eastAsia="Times New Roman" w:hAnsi="Times New Roman"/>
          <w:sz w:val="39"/>
          <w:szCs w:val="39"/>
          <w:color w:val="auto"/>
          <w:vertAlign w:val="subscript"/>
        </w:rPr>
      </w:pPr>
      <w:r>
        <w:rPr>
          <w:rFonts w:ascii="Times New Roman" w:cs="Times New Roman" w:eastAsia="Times New Roman" w:hAnsi="Times New Roman"/>
          <w:sz w:val="1"/>
          <w:szCs w:val="1"/>
          <w:color w:val="auto"/>
          <w:vertAlign w:val="subscript"/>
        </w:rPr>
        <w:drawing>
          <wp:inline distT="0" distB="0" distL="0" distR="0">
            <wp:extent cx="128905" cy="128905"/>
            <wp:effectExtent l="0" t="0" r="0" b="0"/>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 non-U.S. institution in accordance with § 240.13d-1(b)(1)(ii)(J). If filing as a non-U.S. institution in</w:t>
      </w:r>
    </w:p>
    <w:p>
      <w:pPr>
        <w:spacing w:after="0" w:line="14" w:lineRule="exact"/>
        <w:rPr>
          <w:rFonts w:ascii="Times New Roman" w:cs="Times New Roman" w:eastAsia="Times New Roman" w:hAnsi="Times New Roman"/>
          <w:sz w:val="39"/>
          <w:szCs w:val="39"/>
          <w:color w:val="auto"/>
          <w:vertAlign w:val="subscript"/>
        </w:rPr>
      </w:pPr>
    </w:p>
    <w:p>
      <w:pPr>
        <w:ind w:left="920" w:hanging="912"/>
        <w:spacing w:after="0" w:line="230" w:lineRule="auto"/>
        <w:tabs>
          <w:tab w:leader="none" w:pos="920" w:val="left"/>
        </w:tabs>
        <w:numPr>
          <w:ilvl w:val="0"/>
          <w:numId w:val="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accordance with § 240.13d-1(b)(1)(ii)(J),</w:t>
      </w:r>
    </w:p>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73"/>
        </w:trPr>
        <w:tc>
          <w:tcPr>
            <w:tcW w:w="780" w:type="dxa"/>
            <w:vAlign w:val="bottom"/>
          </w:tcPr>
          <w:p>
            <w:pPr>
              <w:spacing w:after="0"/>
              <w:rPr>
                <w:sz w:val="23"/>
                <w:szCs w:val="23"/>
                <w:color w:val="auto"/>
              </w:rPr>
            </w:pPr>
          </w:p>
        </w:tc>
        <w:tc>
          <w:tcPr>
            <w:tcW w:w="10360" w:type="dxa"/>
            <w:vAlign w:val="bottom"/>
          </w:tcPr>
          <w:p>
            <w:pPr>
              <w:ind w:left="520"/>
              <w:spacing w:after="0"/>
              <w:rPr>
                <w:sz w:val="20"/>
                <w:szCs w:val="20"/>
                <w:color w:val="auto"/>
              </w:rPr>
            </w:pPr>
            <w:r>
              <w:rPr>
                <w:rFonts w:ascii="Times New Roman" w:cs="Times New Roman" w:eastAsia="Times New Roman" w:hAnsi="Times New Roman"/>
                <w:sz w:val="22"/>
                <w:szCs w:val="22"/>
                <w:color w:val="auto"/>
              </w:rPr>
              <w:t>please specify the type of institution:</w:t>
            </w:r>
          </w:p>
        </w:tc>
        <w:tc>
          <w:tcPr>
            <w:tcW w:w="0" w:type="dxa"/>
            <w:vAlign w:val="bottom"/>
          </w:tcPr>
          <w:p>
            <w:pPr>
              <w:spacing w:after="0"/>
              <w:rPr>
                <w:sz w:val="1"/>
                <w:szCs w:val="1"/>
                <w:color w:val="auto"/>
              </w:rPr>
            </w:pPr>
          </w:p>
        </w:tc>
      </w:tr>
      <w:tr>
        <w:trPr>
          <w:trHeight w:val="296"/>
        </w:trPr>
        <w:tc>
          <w:tcPr>
            <w:tcW w:w="780" w:type="dxa"/>
            <w:vAlign w:val="bottom"/>
          </w:tcPr>
          <w:p>
            <w:pPr>
              <w:spacing w:after="0"/>
              <w:rPr>
                <w:sz w:val="20"/>
                <w:szCs w:val="20"/>
                <w:color w:val="auto"/>
              </w:rPr>
            </w:pPr>
            <w:r>
              <w:rPr>
                <w:rFonts w:ascii="Times New Roman" w:cs="Times New Roman" w:eastAsia="Times New Roman" w:hAnsi="Times New Roman"/>
                <w:sz w:val="22"/>
                <w:szCs w:val="22"/>
                <w:color w:val="auto"/>
              </w:rPr>
              <w:t>(k)</w:t>
            </w:r>
          </w:p>
        </w:tc>
        <w:tc>
          <w:tcPr>
            <w:tcW w:w="10360" w:type="dxa"/>
            <w:vAlign w:val="bottom"/>
          </w:tcPr>
          <w:p>
            <w:pPr>
              <w:ind w:left="520"/>
              <w:spacing w:after="0"/>
              <w:rPr>
                <w:sz w:val="20"/>
                <w:szCs w:val="20"/>
                <w:color w:val="auto"/>
              </w:rPr>
            </w:pPr>
            <w:r>
              <w:rPr>
                <w:rFonts w:ascii="Times New Roman" w:cs="Times New Roman" w:eastAsia="Times New Roman" w:hAnsi="Times New Roman"/>
                <w:sz w:val="22"/>
                <w:szCs w:val="22"/>
                <w:color w:val="auto"/>
              </w:rPr>
              <w:t>Group, in accordance with Rule 240.13d-1(b)(1)(ii)(K).</w:t>
            </w:r>
          </w:p>
        </w:tc>
        <w:tc>
          <w:tcPr>
            <w:tcW w:w="0" w:type="dxa"/>
            <w:vAlign w:val="bottom"/>
          </w:tcPr>
          <w:p>
            <w:pPr>
              <w:spacing w:after="0"/>
              <w:rPr>
                <w:sz w:val="1"/>
                <w:szCs w:val="1"/>
                <w:color w:val="auto"/>
              </w:rPr>
            </w:pPr>
          </w:p>
        </w:tc>
      </w:tr>
      <w:tr>
        <w:trPr>
          <w:trHeight w:val="594"/>
        </w:trPr>
        <w:tc>
          <w:tcPr>
            <w:tcW w:w="780" w:type="dxa"/>
            <w:vAlign w:val="bottom"/>
          </w:tcPr>
          <w:p>
            <w:pPr>
              <w:spacing w:after="0"/>
              <w:rPr>
                <w:sz w:val="20"/>
                <w:szCs w:val="20"/>
                <w:color w:val="auto"/>
              </w:rPr>
            </w:pPr>
            <w:r>
              <w:rPr>
                <w:rFonts w:ascii="Times New Roman" w:cs="Times New Roman" w:eastAsia="Times New Roman" w:hAnsi="Times New Roman"/>
                <w:sz w:val="22"/>
                <w:szCs w:val="22"/>
                <w:color w:val="auto"/>
              </w:rPr>
              <w:t>Item 4.</w:t>
            </w:r>
          </w:p>
        </w:tc>
        <w:tc>
          <w:tcPr>
            <w:tcW w:w="10360" w:type="dxa"/>
            <w:vAlign w:val="bottom"/>
          </w:tcPr>
          <w:p>
            <w:pPr>
              <w:ind w:left="140"/>
              <w:spacing w:after="0"/>
              <w:rPr>
                <w:sz w:val="20"/>
                <w:szCs w:val="20"/>
                <w:color w:val="auto"/>
              </w:rPr>
            </w:pPr>
            <w:r>
              <w:rPr>
                <w:rFonts w:ascii="Times New Roman" w:cs="Times New Roman" w:eastAsia="Times New Roman" w:hAnsi="Times New Roman"/>
                <w:sz w:val="22"/>
                <w:szCs w:val="22"/>
                <w:color w:val="auto"/>
              </w:rPr>
              <w:t>Ownership</w:t>
            </w:r>
          </w:p>
        </w:tc>
        <w:tc>
          <w:tcPr>
            <w:tcW w:w="0" w:type="dxa"/>
            <w:vAlign w:val="bottom"/>
          </w:tcPr>
          <w:p>
            <w:pPr>
              <w:spacing w:after="0"/>
              <w:rPr>
                <w:sz w:val="1"/>
                <w:szCs w:val="1"/>
                <w:color w:val="auto"/>
              </w:rPr>
            </w:pPr>
          </w:p>
        </w:tc>
      </w:tr>
      <w:tr>
        <w:trPr>
          <w:trHeight w:val="297"/>
        </w:trPr>
        <w:tc>
          <w:tcPr>
            <w:tcW w:w="78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(a)</w:t>
            </w:r>
          </w:p>
        </w:tc>
        <w:tc>
          <w:tcPr>
            <w:tcW w:w="10360" w:type="dxa"/>
            <w:vAlign w:val="bottom"/>
          </w:tcPr>
          <w:p>
            <w:pPr>
              <w:ind w:left="140"/>
              <w:spacing w:after="0"/>
              <w:rPr>
                <w:sz w:val="20"/>
                <w:szCs w:val="20"/>
                <w:color w:val="auto"/>
              </w:rPr>
            </w:pPr>
            <w:r>
              <w:rPr>
                <w:rFonts w:ascii="Times New Roman" w:cs="Times New Roman" w:eastAsia="Times New Roman" w:hAnsi="Times New Roman"/>
                <w:sz w:val="22"/>
                <w:szCs w:val="22"/>
                <w:color w:val="auto"/>
              </w:rPr>
              <w:t>Amount beneficially owned:</w:t>
            </w:r>
          </w:p>
        </w:tc>
        <w:tc>
          <w:tcPr>
            <w:tcW w:w="0" w:type="dxa"/>
            <w:vAlign w:val="bottom"/>
          </w:tcPr>
          <w:p>
            <w:pPr>
              <w:spacing w:after="0"/>
              <w:rPr>
                <w:sz w:val="1"/>
                <w:szCs w:val="1"/>
                <w:color w:val="auto"/>
              </w:rPr>
            </w:pPr>
          </w:p>
        </w:tc>
      </w:tr>
      <w:tr>
        <w:trPr>
          <w:trHeight w:val="243"/>
        </w:trPr>
        <w:tc>
          <w:tcPr>
            <w:tcW w:w="780" w:type="dxa"/>
            <w:vAlign w:val="bottom"/>
            <w:vMerge w:val="continue"/>
          </w:tcPr>
          <w:p>
            <w:pPr>
              <w:spacing w:after="0"/>
              <w:rPr>
                <w:sz w:val="21"/>
                <w:szCs w:val="21"/>
                <w:color w:val="auto"/>
              </w:rPr>
            </w:pPr>
          </w:p>
        </w:tc>
        <w:tc>
          <w:tcPr>
            <w:tcW w:w="10360" w:type="dxa"/>
            <w:vAlign w:val="bottom"/>
            <w:vMerge w:val="restart"/>
          </w:tcPr>
          <w:p>
            <w:pPr>
              <w:ind w:left="140"/>
              <w:spacing w:after="0"/>
              <w:rPr>
                <w:sz w:val="20"/>
                <w:szCs w:val="20"/>
                <w:color w:val="auto"/>
              </w:rPr>
            </w:pPr>
            <w:r>
              <w:rPr>
                <w:rFonts w:ascii="Times New Roman" w:cs="Times New Roman" w:eastAsia="Times New Roman" w:hAnsi="Times New Roman"/>
                <w:sz w:val="22"/>
                <w:szCs w:val="22"/>
                <w:color w:val="auto"/>
              </w:rPr>
              <w:t>1109921.00</w:t>
            </w:r>
          </w:p>
        </w:tc>
        <w:tc>
          <w:tcPr>
            <w:tcW w:w="0" w:type="dxa"/>
            <w:vAlign w:val="bottom"/>
          </w:tcPr>
          <w:p>
            <w:pPr>
              <w:spacing w:after="0"/>
              <w:rPr>
                <w:sz w:val="1"/>
                <w:szCs w:val="1"/>
                <w:color w:val="auto"/>
              </w:rPr>
            </w:pPr>
          </w:p>
        </w:tc>
      </w:tr>
      <w:tr>
        <w:trPr>
          <w:trHeight w:val="243"/>
        </w:trPr>
        <w:tc>
          <w:tcPr>
            <w:tcW w:w="780" w:type="dxa"/>
            <w:vAlign w:val="bottom"/>
          </w:tcPr>
          <w:p>
            <w:pPr>
              <w:spacing w:after="0"/>
              <w:rPr>
                <w:sz w:val="21"/>
                <w:szCs w:val="21"/>
                <w:color w:val="auto"/>
              </w:rPr>
            </w:pPr>
          </w:p>
        </w:tc>
        <w:tc>
          <w:tcPr>
            <w:tcW w:w="10360" w:type="dxa"/>
            <w:vAlign w:val="bottom"/>
            <w:vMerge w:val="continue"/>
          </w:tcPr>
          <w:p>
            <w:pPr>
              <w:spacing w:after="0"/>
              <w:rPr>
                <w:sz w:val="21"/>
                <w:szCs w:val="21"/>
                <w:color w:val="auto"/>
              </w:rPr>
            </w:pPr>
          </w:p>
        </w:tc>
        <w:tc>
          <w:tcPr>
            <w:tcW w:w="0" w:type="dxa"/>
            <w:vAlign w:val="bottom"/>
          </w:tcPr>
          <w:p>
            <w:pPr>
              <w:spacing w:after="0"/>
              <w:rPr>
                <w:sz w:val="1"/>
                <w:szCs w:val="1"/>
                <w:color w:val="auto"/>
              </w:rPr>
            </w:pPr>
          </w:p>
        </w:tc>
      </w:tr>
      <w:tr>
        <w:trPr>
          <w:trHeight w:val="297"/>
        </w:trPr>
        <w:tc>
          <w:tcPr>
            <w:tcW w:w="78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(b)</w:t>
            </w:r>
          </w:p>
        </w:tc>
        <w:tc>
          <w:tcPr>
            <w:tcW w:w="10360" w:type="dxa"/>
            <w:vAlign w:val="bottom"/>
          </w:tcPr>
          <w:p>
            <w:pPr>
              <w:ind w:left="140"/>
              <w:spacing w:after="0"/>
              <w:rPr>
                <w:sz w:val="20"/>
                <w:szCs w:val="20"/>
                <w:color w:val="auto"/>
              </w:rPr>
            </w:pPr>
            <w:r>
              <w:rPr>
                <w:rFonts w:ascii="Times New Roman" w:cs="Times New Roman" w:eastAsia="Times New Roman" w:hAnsi="Times New Roman"/>
                <w:sz w:val="22"/>
                <w:szCs w:val="22"/>
                <w:color w:val="auto"/>
              </w:rPr>
              <w:t>Percent of class:</w:t>
            </w:r>
          </w:p>
        </w:tc>
        <w:tc>
          <w:tcPr>
            <w:tcW w:w="0" w:type="dxa"/>
            <w:vAlign w:val="bottom"/>
          </w:tcPr>
          <w:p>
            <w:pPr>
              <w:spacing w:after="0"/>
              <w:rPr>
                <w:sz w:val="1"/>
                <w:szCs w:val="1"/>
                <w:color w:val="auto"/>
              </w:rPr>
            </w:pPr>
          </w:p>
        </w:tc>
      </w:tr>
      <w:tr>
        <w:trPr>
          <w:trHeight w:val="243"/>
        </w:trPr>
        <w:tc>
          <w:tcPr>
            <w:tcW w:w="780" w:type="dxa"/>
            <w:vAlign w:val="bottom"/>
            <w:vMerge w:val="continue"/>
          </w:tcPr>
          <w:p>
            <w:pPr>
              <w:spacing w:after="0"/>
              <w:rPr>
                <w:sz w:val="21"/>
                <w:szCs w:val="21"/>
                <w:color w:val="auto"/>
              </w:rPr>
            </w:pPr>
          </w:p>
        </w:tc>
        <w:tc>
          <w:tcPr>
            <w:tcW w:w="10360" w:type="dxa"/>
            <w:vAlign w:val="bottom"/>
            <w:vMerge w:val="restart"/>
          </w:tcPr>
          <w:p>
            <w:pPr>
              <w:ind w:left="140"/>
              <w:spacing w:after="0"/>
              <w:rPr>
                <w:sz w:val="20"/>
                <w:szCs w:val="20"/>
                <w:color w:val="auto"/>
              </w:rPr>
            </w:pPr>
            <w:r>
              <w:rPr>
                <w:rFonts w:ascii="Times New Roman" w:cs="Times New Roman" w:eastAsia="Times New Roman" w:hAnsi="Times New Roman"/>
                <w:sz w:val="22"/>
                <w:szCs w:val="22"/>
                <w:color w:val="auto"/>
              </w:rPr>
              <w:t>3.27 %</w:t>
            </w:r>
          </w:p>
        </w:tc>
        <w:tc>
          <w:tcPr>
            <w:tcW w:w="0" w:type="dxa"/>
            <w:vAlign w:val="bottom"/>
          </w:tcPr>
          <w:p>
            <w:pPr>
              <w:spacing w:after="0"/>
              <w:rPr>
                <w:sz w:val="1"/>
                <w:szCs w:val="1"/>
                <w:color w:val="auto"/>
              </w:rPr>
            </w:pPr>
          </w:p>
        </w:tc>
      </w:tr>
      <w:tr>
        <w:trPr>
          <w:trHeight w:val="243"/>
        </w:trPr>
        <w:tc>
          <w:tcPr>
            <w:tcW w:w="780" w:type="dxa"/>
            <w:vAlign w:val="bottom"/>
          </w:tcPr>
          <w:p>
            <w:pPr>
              <w:spacing w:after="0"/>
              <w:rPr>
                <w:sz w:val="21"/>
                <w:szCs w:val="21"/>
                <w:color w:val="auto"/>
              </w:rPr>
            </w:pPr>
          </w:p>
        </w:tc>
        <w:tc>
          <w:tcPr>
            <w:tcW w:w="10360" w:type="dxa"/>
            <w:vAlign w:val="bottom"/>
            <w:vMerge w:val="continue"/>
          </w:tcPr>
          <w:p>
            <w:pPr>
              <w:spacing w:after="0"/>
              <w:rPr>
                <w:sz w:val="21"/>
                <w:szCs w:val="21"/>
                <w:color w:val="auto"/>
              </w:rPr>
            </w:pPr>
          </w:p>
        </w:tc>
        <w:tc>
          <w:tcPr>
            <w:tcW w:w="0" w:type="dxa"/>
            <w:vAlign w:val="bottom"/>
          </w:tcPr>
          <w:p>
            <w:pPr>
              <w:spacing w:after="0"/>
              <w:rPr>
                <w:sz w:val="1"/>
                <w:szCs w:val="1"/>
                <w:color w:val="auto"/>
              </w:rPr>
            </w:pPr>
          </w:p>
        </w:tc>
      </w:tr>
      <w:tr>
        <w:trPr>
          <w:trHeight w:val="297"/>
        </w:trPr>
        <w:tc>
          <w:tcPr>
            <w:tcW w:w="780" w:type="dxa"/>
            <w:vAlign w:val="bottom"/>
          </w:tcPr>
          <w:p>
            <w:pPr>
              <w:spacing w:after="0"/>
              <w:rPr>
                <w:sz w:val="20"/>
                <w:szCs w:val="20"/>
                <w:color w:val="auto"/>
              </w:rPr>
            </w:pPr>
            <w:r>
              <w:rPr>
                <w:rFonts w:ascii="Times New Roman" w:cs="Times New Roman" w:eastAsia="Times New Roman" w:hAnsi="Times New Roman"/>
                <w:sz w:val="22"/>
                <w:szCs w:val="22"/>
                <w:color w:val="auto"/>
              </w:rPr>
              <w:t>(c)</w:t>
            </w:r>
          </w:p>
        </w:tc>
        <w:tc>
          <w:tcPr>
            <w:tcW w:w="10360" w:type="dxa"/>
            <w:vAlign w:val="bottom"/>
          </w:tcPr>
          <w:p>
            <w:pPr>
              <w:ind w:left="140"/>
              <w:spacing w:after="0"/>
              <w:rPr>
                <w:sz w:val="20"/>
                <w:szCs w:val="20"/>
                <w:color w:val="auto"/>
              </w:rPr>
            </w:pPr>
            <w:r>
              <w:rPr>
                <w:rFonts w:ascii="Times New Roman" w:cs="Times New Roman" w:eastAsia="Times New Roman" w:hAnsi="Times New Roman"/>
                <w:sz w:val="22"/>
                <w:szCs w:val="22"/>
                <w:color w:val="auto"/>
              </w:rPr>
              <w:t>Number of shares as to which the person has:</w:t>
            </w:r>
          </w:p>
        </w:tc>
        <w:tc>
          <w:tcPr>
            <w:tcW w:w="0" w:type="dxa"/>
            <w:vAlign w:val="bottom"/>
          </w:tcPr>
          <w:p>
            <w:pPr>
              <w:spacing w:after="0"/>
              <w:rPr>
                <w:sz w:val="1"/>
                <w:szCs w:val="1"/>
                <w:color w:val="auto"/>
              </w:rPr>
            </w:pPr>
          </w:p>
        </w:tc>
      </w:tr>
      <w:tr>
        <w:trPr>
          <w:trHeight w:val="297"/>
        </w:trPr>
        <w:tc>
          <w:tcPr>
            <w:tcW w:w="780" w:type="dxa"/>
            <w:vAlign w:val="bottom"/>
          </w:tcPr>
          <w:p>
            <w:pPr>
              <w:spacing w:after="0"/>
              <w:rPr>
                <w:sz w:val="24"/>
                <w:szCs w:val="24"/>
                <w:color w:val="auto"/>
              </w:rPr>
            </w:pPr>
          </w:p>
        </w:tc>
        <w:tc>
          <w:tcPr>
            <w:tcW w:w="10360" w:type="dxa"/>
            <w:vAlign w:val="bottom"/>
          </w:tcPr>
          <w:p>
            <w:pPr>
              <w:ind w:left="140"/>
              <w:spacing w:after="0"/>
              <w:rPr>
                <w:sz w:val="20"/>
                <w:szCs w:val="20"/>
                <w:color w:val="auto"/>
              </w:rPr>
            </w:pPr>
            <w:r>
              <w:rPr>
                <w:rFonts w:ascii="Times New Roman" w:cs="Times New Roman" w:eastAsia="Times New Roman" w:hAnsi="Times New Roman"/>
                <w:sz w:val="22"/>
                <w:szCs w:val="22"/>
                <w:color w:val="auto"/>
              </w:rPr>
              <w:t>(i) Sole power to vote or to direct the vote:</w:t>
            </w:r>
          </w:p>
        </w:tc>
        <w:tc>
          <w:tcPr>
            <w:tcW w:w="0" w:type="dxa"/>
            <w:vAlign w:val="bottom"/>
          </w:tcPr>
          <w:p>
            <w:pPr>
              <w:spacing w:after="0"/>
              <w:rPr>
                <w:sz w:val="1"/>
                <w:szCs w:val="1"/>
                <w:color w:val="auto"/>
              </w:rPr>
            </w:pPr>
          </w:p>
        </w:tc>
      </w:tr>
      <w:tr>
        <w:trPr>
          <w:trHeight w:val="486"/>
        </w:trPr>
        <w:tc>
          <w:tcPr>
            <w:tcW w:w="780" w:type="dxa"/>
            <w:vAlign w:val="bottom"/>
          </w:tcPr>
          <w:p>
            <w:pPr>
              <w:spacing w:after="0"/>
              <w:rPr>
                <w:sz w:val="24"/>
                <w:szCs w:val="24"/>
                <w:color w:val="auto"/>
              </w:rPr>
            </w:pPr>
          </w:p>
        </w:tc>
        <w:tc>
          <w:tcPr>
            <w:tcW w:w="10360" w:type="dxa"/>
            <w:vAlign w:val="bottom"/>
          </w:tcPr>
          <w:p>
            <w:pPr>
              <w:ind w:left="140"/>
              <w:spacing w:after="0"/>
              <w:rPr>
                <w:sz w:val="20"/>
                <w:szCs w:val="20"/>
                <w:color w:val="auto"/>
              </w:rPr>
            </w:pPr>
            <w:r>
              <w:rPr>
                <w:rFonts w:ascii="Times New Roman" w:cs="Times New Roman" w:eastAsia="Times New Roman" w:hAnsi="Times New Roman"/>
                <w:sz w:val="22"/>
                <w:szCs w:val="22"/>
                <w:color w:val="auto"/>
              </w:rPr>
              <w:t>1109921.00</w:t>
            </w:r>
          </w:p>
        </w:tc>
        <w:tc>
          <w:tcPr>
            <w:tcW w:w="0" w:type="dxa"/>
            <w:vAlign w:val="bottom"/>
          </w:tcPr>
          <w:p>
            <w:pPr>
              <w:spacing w:after="0"/>
              <w:rPr>
                <w:sz w:val="1"/>
                <w:szCs w:val="1"/>
                <w:color w:val="auto"/>
              </w:rPr>
            </w:pPr>
          </w:p>
        </w:tc>
      </w:tr>
      <w:tr>
        <w:trPr>
          <w:trHeight w:val="540"/>
        </w:trPr>
        <w:tc>
          <w:tcPr>
            <w:tcW w:w="780" w:type="dxa"/>
            <w:vAlign w:val="bottom"/>
          </w:tcPr>
          <w:p>
            <w:pPr>
              <w:spacing w:after="0"/>
              <w:rPr>
                <w:sz w:val="24"/>
                <w:szCs w:val="24"/>
                <w:color w:val="auto"/>
              </w:rPr>
            </w:pPr>
          </w:p>
        </w:tc>
        <w:tc>
          <w:tcPr>
            <w:tcW w:w="10360" w:type="dxa"/>
            <w:vAlign w:val="bottom"/>
          </w:tcPr>
          <w:p>
            <w:pPr>
              <w:ind w:left="140"/>
              <w:spacing w:after="0"/>
              <w:rPr>
                <w:sz w:val="20"/>
                <w:szCs w:val="20"/>
                <w:color w:val="auto"/>
              </w:rPr>
            </w:pPr>
            <w:r>
              <w:rPr>
                <w:rFonts w:ascii="Times New Roman" w:cs="Times New Roman" w:eastAsia="Times New Roman" w:hAnsi="Times New Roman"/>
                <w:sz w:val="22"/>
                <w:szCs w:val="22"/>
                <w:color w:val="auto"/>
              </w:rPr>
              <w:t>(ii) Shared power to vote or to direct the vote:</w:t>
            </w:r>
          </w:p>
        </w:tc>
        <w:tc>
          <w:tcPr>
            <w:tcW w:w="0" w:type="dxa"/>
            <w:vAlign w:val="bottom"/>
          </w:tcPr>
          <w:p>
            <w:pPr>
              <w:spacing w:after="0"/>
              <w:rPr>
                <w:sz w:val="1"/>
                <w:szCs w:val="1"/>
                <w:color w:val="auto"/>
              </w:rPr>
            </w:pPr>
          </w:p>
        </w:tc>
      </w:tr>
      <w:tr>
        <w:trPr>
          <w:trHeight w:val="486"/>
        </w:trPr>
        <w:tc>
          <w:tcPr>
            <w:tcW w:w="780" w:type="dxa"/>
            <w:vAlign w:val="bottom"/>
          </w:tcPr>
          <w:p>
            <w:pPr>
              <w:spacing w:after="0"/>
              <w:rPr>
                <w:sz w:val="24"/>
                <w:szCs w:val="24"/>
                <w:color w:val="auto"/>
              </w:rPr>
            </w:pPr>
          </w:p>
        </w:tc>
        <w:tc>
          <w:tcPr>
            <w:tcW w:w="10360" w:type="dxa"/>
            <w:vAlign w:val="bottom"/>
          </w:tcPr>
          <w:p>
            <w:pPr>
              <w:ind w:left="140"/>
              <w:spacing w:after="0"/>
              <w:rPr>
                <w:sz w:val="20"/>
                <w:szCs w:val="20"/>
                <w:color w:val="auto"/>
              </w:rPr>
            </w:pPr>
            <w:r>
              <w:rPr>
                <w:rFonts w:ascii="Times New Roman" w:cs="Times New Roman" w:eastAsia="Times New Roman" w:hAnsi="Times New Roman"/>
                <w:sz w:val="22"/>
                <w:szCs w:val="22"/>
                <w:color w:val="auto"/>
              </w:rPr>
              <w:t>0.00</w:t>
            </w:r>
          </w:p>
        </w:tc>
        <w:tc>
          <w:tcPr>
            <w:tcW w:w="0" w:type="dxa"/>
            <w:vAlign w:val="bottom"/>
          </w:tcPr>
          <w:p>
            <w:pPr>
              <w:spacing w:after="0"/>
              <w:rPr>
                <w:sz w:val="1"/>
                <w:szCs w:val="1"/>
                <w:color w:val="auto"/>
              </w:rPr>
            </w:pPr>
          </w:p>
        </w:tc>
      </w:tr>
      <w:tr>
        <w:trPr>
          <w:trHeight w:val="540"/>
        </w:trPr>
        <w:tc>
          <w:tcPr>
            <w:tcW w:w="780" w:type="dxa"/>
            <w:vAlign w:val="bottom"/>
          </w:tcPr>
          <w:p>
            <w:pPr>
              <w:spacing w:after="0"/>
              <w:rPr>
                <w:sz w:val="24"/>
                <w:szCs w:val="24"/>
                <w:color w:val="auto"/>
              </w:rPr>
            </w:pPr>
          </w:p>
        </w:tc>
        <w:tc>
          <w:tcPr>
            <w:tcW w:w="10360" w:type="dxa"/>
            <w:vAlign w:val="bottom"/>
          </w:tcPr>
          <w:p>
            <w:pPr>
              <w:ind w:left="140"/>
              <w:spacing w:after="0"/>
              <w:rPr>
                <w:sz w:val="20"/>
                <w:szCs w:val="20"/>
                <w:color w:val="auto"/>
              </w:rPr>
            </w:pPr>
            <w:r>
              <w:rPr>
                <w:rFonts w:ascii="Times New Roman" w:cs="Times New Roman" w:eastAsia="Times New Roman" w:hAnsi="Times New Roman"/>
                <w:sz w:val="22"/>
                <w:szCs w:val="22"/>
                <w:color w:val="auto"/>
              </w:rPr>
              <w:t>(iii) Sole power to dispose or to direct the disposition of:</w:t>
            </w:r>
          </w:p>
        </w:tc>
        <w:tc>
          <w:tcPr>
            <w:tcW w:w="0" w:type="dxa"/>
            <w:vAlign w:val="bottom"/>
          </w:tcPr>
          <w:p>
            <w:pPr>
              <w:spacing w:after="0"/>
              <w:rPr>
                <w:sz w:val="1"/>
                <w:szCs w:val="1"/>
                <w:color w:val="auto"/>
              </w:rPr>
            </w:pPr>
          </w:p>
        </w:tc>
      </w:tr>
      <w:tr>
        <w:trPr>
          <w:trHeight w:val="486"/>
        </w:trPr>
        <w:tc>
          <w:tcPr>
            <w:tcW w:w="780" w:type="dxa"/>
            <w:vAlign w:val="bottom"/>
          </w:tcPr>
          <w:p>
            <w:pPr>
              <w:spacing w:after="0"/>
              <w:rPr>
                <w:sz w:val="24"/>
                <w:szCs w:val="24"/>
                <w:color w:val="auto"/>
              </w:rPr>
            </w:pPr>
          </w:p>
        </w:tc>
        <w:tc>
          <w:tcPr>
            <w:tcW w:w="10360" w:type="dxa"/>
            <w:vAlign w:val="bottom"/>
          </w:tcPr>
          <w:p>
            <w:pPr>
              <w:ind w:left="140"/>
              <w:spacing w:after="0"/>
              <w:rPr>
                <w:sz w:val="20"/>
                <w:szCs w:val="20"/>
                <w:color w:val="auto"/>
              </w:rPr>
            </w:pPr>
            <w:r>
              <w:rPr>
                <w:rFonts w:ascii="Times New Roman" w:cs="Times New Roman" w:eastAsia="Times New Roman" w:hAnsi="Times New Roman"/>
                <w:sz w:val="22"/>
                <w:szCs w:val="22"/>
                <w:color w:val="auto"/>
              </w:rPr>
              <w:t>1109921.00</w:t>
            </w:r>
          </w:p>
        </w:tc>
        <w:tc>
          <w:tcPr>
            <w:tcW w:w="0" w:type="dxa"/>
            <w:vAlign w:val="bottom"/>
          </w:tcPr>
          <w:p>
            <w:pPr>
              <w:spacing w:after="0"/>
              <w:rPr>
                <w:sz w:val="1"/>
                <w:szCs w:val="1"/>
                <w:color w:val="auto"/>
              </w:rPr>
            </w:pPr>
          </w:p>
        </w:tc>
      </w:tr>
      <w:tr>
        <w:trPr>
          <w:trHeight w:val="540"/>
        </w:trPr>
        <w:tc>
          <w:tcPr>
            <w:tcW w:w="780" w:type="dxa"/>
            <w:vAlign w:val="bottom"/>
          </w:tcPr>
          <w:p>
            <w:pPr>
              <w:spacing w:after="0"/>
              <w:rPr>
                <w:sz w:val="24"/>
                <w:szCs w:val="24"/>
                <w:color w:val="auto"/>
              </w:rPr>
            </w:pPr>
          </w:p>
        </w:tc>
        <w:tc>
          <w:tcPr>
            <w:tcW w:w="10360" w:type="dxa"/>
            <w:vAlign w:val="bottom"/>
          </w:tcPr>
          <w:p>
            <w:pPr>
              <w:ind w:left="140"/>
              <w:spacing w:after="0"/>
              <w:rPr>
                <w:sz w:val="20"/>
                <w:szCs w:val="20"/>
                <w:color w:val="auto"/>
              </w:rPr>
            </w:pPr>
            <w:r>
              <w:rPr>
                <w:rFonts w:ascii="Times New Roman" w:cs="Times New Roman" w:eastAsia="Times New Roman" w:hAnsi="Times New Roman"/>
                <w:sz w:val="22"/>
                <w:szCs w:val="22"/>
                <w:color w:val="auto"/>
              </w:rPr>
              <w:t>(iv) Shared power to dispose or to direct the disposition of:</w:t>
            </w:r>
          </w:p>
        </w:tc>
        <w:tc>
          <w:tcPr>
            <w:tcW w:w="0" w:type="dxa"/>
            <w:vAlign w:val="bottom"/>
          </w:tcPr>
          <w:p>
            <w:pPr>
              <w:spacing w:after="0"/>
              <w:rPr>
                <w:sz w:val="1"/>
                <w:szCs w:val="1"/>
                <w:color w:val="auto"/>
              </w:rPr>
            </w:pPr>
          </w:p>
        </w:tc>
      </w:tr>
      <w:tr>
        <w:trPr>
          <w:trHeight w:val="486"/>
        </w:trPr>
        <w:tc>
          <w:tcPr>
            <w:tcW w:w="780" w:type="dxa"/>
            <w:vAlign w:val="bottom"/>
          </w:tcPr>
          <w:p>
            <w:pPr>
              <w:spacing w:after="0"/>
              <w:rPr>
                <w:sz w:val="24"/>
                <w:szCs w:val="24"/>
                <w:color w:val="auto"/>
              </w:rPr>
            </w:pPr>
          </w:p>
        </w:tc>
        <w:tc>
          <w:tcPr>
            <w:tcW w:w="10360" w:type="dxa"/>
            <w:vAlign w:val="bottom"/>
          </w:tcPr>
          <w:p>
            <w:pPr>
              <w:ind w:left="140"/>
              <w:spacing w:after="0"/>
              <w:rPr>
                <w:sz w:val="20"/>
                <w:szCs w:val="20"/>
                <w:color w:val="auto"/>
              </w:rPr>
            </w:pPr>
            <w:r>
              <w:rPr>
                <w:rFonts w:ascii="Times New Roman" w:cs="Times New Roman" w:eastAsia="Times New Roman" w:hAnsi="Times New Roman"/>
                <w:sz w:val="22"/>
                <w:szCs w:val="22"/>
                <w:color w:val="auto"/>
              </w:rPr>
              <w:t>0.00</w:t>
            </w:r>
          </w:p>
        </w:tc>
        <w:tc>
          <w:tcPr>
            <w:tcW w:w="0" w:type="dxa"/>
            <w:vAlign w:val="bottom"/>
          </w:tcPr>
          <w:p>
            <w:pPr>
              <w:spacing w:after="0"/>
              <w:rPr>
                <w:sz w:val="1"/>
                <w:szCs w:val="1"/>
                <w:color w:val="auto"/>
              </w:rPr>
            </w:pPr>
          </w:p>
        </w:tc>
      </w:tr>
      <w:tr>
        <w:trPr>
          <w:trHeight w:val="540"/>
        </w:trPr>
        <w:tc>
          <w:tcPr>
            <w:tcW w:w="780" w:type="dxa"/>
            <w:vAlign w:val="bottom"/>
          </w:tcPr>
          <w:p>
            <w:pPr>
              <w:spacing w:after="0"/>
              <w:rPr>
                <w:sz w:val="20"/>
                <w:szCs w:val="20"/>
                <w:color w:val="auto"/>
              </w:rPr>
            </w:pPr>
            <w:r>
              <w:rPr>
                <w:rFonts w:ascii="Times New Roman" w:cs="Times New Roman" w:eastAsia="Times New Roman" w:hAnsi="Times New Roman"/>
                <w:sz w:val="22"/>
                <w:szCs w:val="22"/>
                <w:color w:val="auto"/>
              </w:rPr>
              <w:t>Item 5.</w:t>
            </w:r>
          </w:p>
        </w:tc>
        <w:tc>
          <w:tcPr>
            <w:tcW w:w="10360" w:type="dxa"/>
            <w:vAlign w:val="bottom"/>
          </w:tcPr>
          <w:p>
            <w:pPr>
              <w:ind w:left="140"/>
              <w:spacing w:after="0"/>
              <w:rPr>
                <w:sz w:val="20"/>
                <w:szCs w:val="20"/>
                <w:color w:val="auto"/>
              </w:rPr>
            </w:pPr>
            <w:r>
              <w:rPr>
                <w:rFonts w:ascii="Times New Roman" w:cs="Times New Roman" w:eastAsia="Times New Roman" w:hAnsi="Times New Roman"/>
                <w:sz w:val="22"/>
                <w:szCs w:val="22"/>
                <w:color w:val="auto"/>
              </w:rPr>
              <w:t>Ownership of 5 Percent or Less of a Class.</w:t>
            </w:r>
          </w:p>
        </w:tc>
        <w:tc>
          <w:tcPr>
            <w:tcW w:w="0" w:type="dxa"/>
            <w:vAlign w:val="bottom"/>
          </w:tcPr>
          <w:p>
            <w:pPr>
              <w:spacing w:after="0"/>
              <w:rPr>
                <w:sz w:val="1"/>
                <w:szCs w:val="1"/>
                <w:color w:val="auto"/>
              </w:rPr>
            </w:pPr>
          </w:p>
        </w:tc>
      </w:tr>
      <w:tr>
        <w:trPr>
          <w:trHeight w:val="310"/>
        </w:trPr>
        <w:tc>
          <w:tcPr>
            <w:tcW w:w="780" w:type="dxa"/>
            <w:vAlign w:val="bottom"/>
          </w:tcPr>
          <w:p>
            <w:pPr>
              <w:spacing w:after="0"/>
              <w:rPr>
                <w:sz w:val="24"/>
                <w:szCs w:val="24"/>
                <w:color w:val="auto"/>
              </w:rPr>
            </w:pPr>
          </w:p>
        </w:tc>
        <w:tc>
          <w:tcPr>
            <w:tcW w:w="10360" w:type="dxa"/>
            <w:vAlign w:val="bottom"/>
          </w:tcPr>
          <w:p>
            <w:pPr>
              <w:ind w:left="560"/>
              <w:spacing w:after="0"/>
              <w:rPr>
                <w:sz w:val="20"/>
                <w:szCs w:val="20"/>
                <w:color w:val="auto"/>
              </w:rPr>
            </w:pPr>
            <w:r>
              <w:rPr>
                <w:rFonts w:ascii="Times New Roman" w:cs="Times New Roman" w:eastAsia="Times New Roman" w:hAnsi="Times New Roman"/>
                <w:sz w:val="22"/>
                <w:szCs w:val="22"/>
                <w:color w:val="auto"/>
              </w:rPr>
              <w:t>Ownership of 5 percent or less of a class</w:t>
            </w:r>
          </w:p>
        </w:tc>
        <w:tc>
          <w:tcPr>
            <w:tcW w:w="0" w:type="dxa"/>
            <w:vAlign w:val="bottom"/>
          </w:tcPr>
          <w:p>
            <w:pPr>
              <w:spacing w:after="0"/>
              <w:rPr>
                <w:sz w:val="1"/>
                <w:szCs w:val="1"/>
                <w:color w:val="auto"/>
              </w:rPr>
            </w:pPr>
          </w:p>
        </w:tc>
      </w:tr>
      <w:tr>
        <w:trPr>
          <w:trHeight w:val="297"/>
        </w:trPr>
        <w:tc>
          <w:tcPr>
            <w:tcW w:w="780" w:type="dxa"/>
            <w:vAlign w:val="bottom"/>
          </w:tcPr>
          <w:p>
            <w:pPr>
              <w:spacing w:after="0"/>
              <w:rPr>
                <w:sz w:val="20"/>
                <w:szCs w:val="20"/>
                <w:color w:val="auto"/>
              </w:rPr>
            </w:pPr>
            <w:r>
              <w:rPr>
                <w:rFonts w:ascii="Times New Roman" w:cs="Times New Roman" w:eastAsia="Times New Roman" w:hAnsi="Times New Roman"/>
                <w:sz w:val="22"/>
                <w:szCs w:val="22"/>
                <w:color w:val="auto"/>
              </w:rPr>
              <w:t>Item 6.</w:t>
            </w:r>
          </w:p>
        </w:tc>
        <w:tc>
          <w:tcPr>
            <w:tcW w:w="10360" w:type="dxa"/>
            <w:vAlign w:val="bottom"/>
          </w:tcPr>
          <w:p>
            <w:pPr>
              <w:ind w:left="140"/>
              <w:spacing w:after="0"/>
              <w:rPr>
                <w:sz w:val="20"/>
                <w:szCs w:val="20"/>
                <w:color w:val="auto"/>
              </w:rPr>
            </w:pPr>
            <w:r>
              <w:rPr>
                <w:rFonts w:ascii="Times New Roman" w:cs="Times New Roman" w:eastAsia="Times New Roman" w:hAnsi="Times New Roman"/>
                <w:sz w:val="22"/>
                <w:szCs w:val="22"/>
                <w:color w:val="auto"/>
              </w:rPr>
              <w:t>Ownership of more than 5 Percent on Behalf of Another Person.</w:t>
            </w:r>
          </w:p>
        </w:tc>
        <w:tc>
          <w:tcPr>
            <w:tcW w:w="0" w:type="dxa"/>
            <w:vAlign w:val="bottom"/>
          </w:tcPr>
          <w:p>
            <w:pPr>
              <w:spacing w:after="0"/>
              <w:rPr>
                <w:sz w:val="1"/>
                <w:szCs w:val="1"/>
                <w:color w:val="auto"/>
              </w:rPr>
            </w:pPr>
          </w:p>
        </w:tc>
      </w:tr>
      <w:tr>
        <w:trPr>
          <w:trHeight w:val="258"/>
        </w:trPr>
        <w:tc>
          <w:tcPr>
            <w:tcW w:w="780" w:type="dxa"/>
            <w:vAlign w:val="bottom"/>
          </w:tcPr>
          <w:p>
            <w:pPr>
              <w:spacing w:after="0"/>
              <w:rPr>
                <w:sz w:val="22"/>
                <w:szCs w:val="22"/>
                <w:color w:val="auto"/>
              </w:rPr>
            </w:pPr>
          </w:p>
        </w:tc>
        <w:tc>
          <w:tcPr>
            <w:tcW w:w="10360" w:type="dxa"/>
            <w:vAlign w:val="bottom"/>
          </w:tcPr>
          <w:p>
            <w:pPr>
              <w:ind w:left="140"/>
              <w:spacing w:after="0"/>
              <w:rPr>
                <w:sz w:val="20"/>
                <w:szCs w:val="20"/>
                <w:color w:val="auto"/>
              </w:rPr>
            </w:pPr>
            <w:r>
              <w:rPr>
                <w:rFonts w:ascii="Times New Roman" w:cs="Times New Roman" w:eastAsia="Times New Roman" w:hAnsi="Times New Roman"/>
                <w:sz w:val="22"/>
                <w:szCs w:val="22"/>
                <w:color w:val="auto"/>
              </w:rPr>
              <w:t>If any other person is known to have the right to receive or the power to direct the receipt of dividends from, or the</w:t>
            </w:r>
          </w:p>
        </w:tc>
        <w:tc>
          <w:tcPr>
            <w:tcW w:w="0" w:type="dxa"/>
            <w:vAlign w:val="bottom"/>
          </w:tcPr>
          <w:p>
            <w:pPr>
              <w:spacing w:after="0"/>
              <w:rPr>
                <w:sz w:val="1"/>
                <w:szCs w:val="1"/>
                <w:color w:val="auto"/>
              </w:rPr>
            </w:pPr>
          </w:p>
        </w:tc>
      </w:tr>
      <w:tr>
        <w:trPr>
          <w:trHeight w:val="243"/>
        </w:trPr>
        <w:tc>
          <w:tcPr>
            <w:tcW w:w="780" w:type="dxa"/>
            <w:vAlign w:val="bottom"/>
          </w:tcPr>
          <w:p>
            <w:pPr>
              <w:spacing w:after="0"/>
              <w:rPr>
                <w:sz w:val="21"/>
                <w:szCs w:val="21"/>
                <w:color w:val="auto"/>
              </w:rPr>
            </w:pPr>
          </w:p>
        </w:tc>
        <w:tc>
          <w:tcPr>
            <w:tcW w:w="10360" w:type="dxa"/>
            <w:vAlign w:val="bottom"/>
          </w:tcPr>
          <w:p>
            <w:pPr>
              <w:ind w:left="140"/>
              <w:spacing w:after="0" w:line="243" w:lineRule="exact"/>
              <w:rPr>
                <w:sz w:val="20"/>
                <w:szCs w:val="20"/>
                <w:color w:val="auto"/>
              </w:rPr>
            </w:pPr>
            <w:r>
              <w:rPr>
                <w:rFonts w:ascii="Times New Roman" w:cs="Times New Roman" w:eastAsia="Times New Roman" w:hAnsi="Times New Roman"/>
                <w:sz w:val="22"/>
                <w:szCs w:val="22"/>
                <w:color w:val="auto"/>
                <w:w w:val="98"/>
              </w:rPr>
              <w:t>proceeds from the sale of, such securities, a statement to that effect should be included in response to this item and, if</w:t>
            </w:r>
          </w:p>
        </w:tc>
        <w:tc>
          <w:tcPr>
            <w:tcW w:w="0" w:type="dxa"/>
            <w:vAlign w:val="bottom"/>
          </w:tcPr>
          <w:p>
            <w:pPr>
              <w:spacing w:after="0"/>
              <w:rPr>
                <w:sz w:val="1"/>
                <w:szCs w:val="1"/>
                <w:color w:val="auto"/>
              </w:rPr>
            </w:pPr>
          </w:p>
        </w:tc>
      </w:tr>
      <w:tr>
        <w:trPr>
          <w:trHeight w:val="243"/>
        </w:trPr>
        <w:tc>
          <w:tcPr>
            <w:tcW w:w="780" w:type="dxa"/>
            <w:vAlign w:val="bottom"/>
          </w:tcPr>
          <w:p>
            <w:pPr>
              <w:spacing w:after="0"/>
              <w:rPr>
                <w:sz w:val="21"/>
                <w:szCs w:val="21"/>
                <w:color w:val="auto"/>
              </w:rPr>
            </w:pPr>
          </w:p>
        </w:tc>
        <w:tc>
          <w:tcPr>
            <w:tcW w:w="10360" w:type="dxa"/>
            <w:vAlign w:val="bottom"/>
          </w:tcPr>
          <w:p>
            <w:pPr>
              <w:ind w:left="140"/>
              <w:spacing w:after="0" w:line="243" w:lineRule="exact"/>
              <w:rPr>
                <w:sz w:val="20"/>
                <w:szCs w:val="20"/>
                <w:color w:val="auto"/>
              </w:rPr>
            </w:pPr>
            <w:r>
              <w:rPr>
                <w:rFonts w:ascii="Times New Roman" w:cs="Times New Roman" w:eastAsia="Times New Roman" w:hAnsi="Times New Roman"/>
                <w:sz w:val="22"/>
                <w:szCs w:val="22"/>
                <w:color w:val="auto"/>
                <w:w w:val="98"/>
              </w:rPr>
              <w:t>such interest relates to more than 5 percent of the class, such person should be identified. A listing of the shareholders</w:t>
            </w:r>
          </w:p>
        </w:tc>
        <w:tc>
          <w:tcPr>
            <w:tcW w:w="0" w:type="dxa"/>
            <w:vAlign w:val="bottom"/>
          </w:tcPr>
          <w:p>
            <w:pPr>
              <w:spacing w:after="0"/>
              <w:rPr>
                <w:sz w:val="1"/>
                <w:szCs w:val="1"/>
                <w:color w:val="auto"/>
              </w:rPr>
            </w:pPr>
          </w:p>
        </w:tc>
      </w:tr>
      <w:tr>
        <w:trPr>
          <w:trHeight w:val="243"/>
        </w:trPr>
        <w:tc>
          <w:tcPr>
            <w:tcW w:w="780" w:type="dxa"/>
            <w:vAlign w:val="bottom"/>
          </w:tcPr>
          <w:p>
            <w:pPr>
              <w:spacing w:after="0"/>
              <w:rPr>
                <w:sz w:val="21"/>
                <w:szCs w:val="21"/>
                <w:color w:val="auto"/>
              </w:rPr>
            </w:pPr>
          </w:p>
        </w:tc>
        <w:tc>
          <w:tcPr>
            <w:tcW w:w="10360" w:type="dxa"/>
            <w:vAlign w:val="bottom"/>
          </w:tcPr>
          <w:p>
            <w:pPr>
              <w:ind w:left="140"/>
              <w:spacing w:after="0" w:line="243" w:lineRule="exact"/>
              <w:rPr>
                <w:sz w:val="20"/>
                <w:szCs w:val="20"/>
                <w:color w:val="auto"/>
              </w:rPr>
            </w:pPr>
            <w:r>
              <w:rPr>
                <w:rFonts w:ascii="Times New Roman" w:cs="Times New Roman" w:eastAsia="Times New Roman" w:hAnsi="Times New Roman"/>
                <w:sz w:val="22"/>
                <w:szCs w:val="22"/>
                <w:color w:val="auto"/>
              </w:rPr>
              <w:t>of an investment company registered under the Investment Company Act of 1940 or the beneficiaries of employee</w:t>
            </w:r>
          </w:p>
        </w:tc>
        <w:tc>
          <w:tcPr>
            <w:tcW w:w="0" w:type="dxa"/>
            <w:vAlign w:val="bottom"/>
          </w:tcPr>
          <w:p>
            <w:pPr>
              <w:spacing w:after="0"/>
              <w:rPr>
                <w:sz w:val="1"/>
                <w:szCs w:val="1"/>
                <w:color w:val="auto"/>
              </w:rPr>
            </w:pPr>
          </w:p>
        </w:tc>
      </w:tr>
      <w:tr>
        <w:trPr>
          <w:trHeight w:val="282"/>
        </w:trPr>
        <w:tc>
          <w:tcPr>
            <w:tcW w:w="780" w:type="dxa"/>
            <w:vAlign w:val="bottom"/>
          </w:tcPr>
          <w:p>
            <w:pPr>
              <w:spacing w:after="0"/>
              <w:rPr>
                <w:sz w:val="24"/>
                <w:szCs w:val="24"/>
                <w:color w:val="auto"/>
              </w:rPr>
            </w:pPr>
          </w:p>
        </w:tc>
        <w:tc>
          <w:tcPr>
            <w:tcW w:w="10360" w:type="dxa"/>
            <w:vAlign w:val="bottom"/>
          </w:tcPr>
          <w:p>
            <w:pPr>
              <w:ind w:left="140"/>
              <w:spacing w:after="0"/>
              <w:rPr>
                <w:sz w:val="20"/>
                <w:szCs w:val="20"/>
                <w:color w:val="auto"/>
              </w:rPr>
            </w:pPr>
            <w:r>
              <w:rPr>
                <w:rFonts w:ascii="Times New Roman" w:cs="Times New Roman" w:eastAsia="Times New Roman" w:hAnsi="Times New Roman"/>
                <w:sz w:val="22"/>
                <w:szCs w:val="22"/>
                <w:color w:val="auto"/>
              </w:rPr>
              <w:t>benefit plan, pension fund or endowment fund is not required.</w:t>
            </w:r>
          </w:p>
        </w:tc>
        <w:tc>
          <w:tcPr>
            <w:tcW w:w="0" w:type="dxa"/>
            <w:vAlign w:val="bottom"/>
          </w:tcPr>
          <w:p>
            <w:pPr>
              <w:spacing w:after="0"/>
              <w:rPr>
                <w:sz w:val="1"/>
                <w:szCs w:val="1"/>
                <w:color w:val="auto"/>
              </w:rPr>
            </w:pPr>
          </w:p>
        </w:tc>
      </w:tr>
      <w:tr>
        <w:trPr>
          <w:trHeight w:val="729"/>
        </w:trPr>
        <w:tc>
          <w:tcPr>
            <w:tcW w:w="780" w:type="dxa"/>
            <w:vAlign w:val="bottom"/>
          </w:tcPr>
          <w:p>
            <w:pPr>
              <w:spacing w:after="0"/>
              <w:rPr>
                <w:sz w:val="24"/>
                <w:szCs w:val="24"/>
                <w:color w:val="auto"/>
              </w:rPr>
            </w:pPr>
          </w:p>
        </w:tc>
        <w:tc>
          <w:tcPr>
            <w:tcW w:w="10360" w:type="dxa"/>
            <w:vAlign w:val="bottom"/>
          </w:tcPr>
          <w:p>
            <w:pPr>
              <w:ind w:left="140"/>
              <w:spacing w:after="0"/>
              <w:rPr>
                <w:sz w:val="20"/>
                <w:szCs w:val="20"/>
                <w:color w:val="auto"/>
              </w:rPr>
            </w:pPr>
            <w:r>
              <w:rPr>
                <w:rFonts w:ascii="Times New Roman" w:cs="Times New Roman" w:eastAsia="Times New Roman" w:hAnsi="Times New Roman"/>
                <w:sz w:val="22"/>
                <w:szCs w:val="22"/>
                <w:color w:val="auto"/>
              </w:rPr>
              <w:t>Not Applicable</w:t>
            </w:r>
          </w:p>
        </w:tc>
        <w:tc>
          <w:tcPr>
            <w:tcW w:w="0" w:type="dxa"/>
            <w:vAlign w:val="bottom"/>
          </w:tcPr>
          <w:p>
            <w:pPr>
              <w:spacing w:after="0"/>
              <w:rPr>
                <w:sz w:val="1"/>
                <w:szCs w:val="1"/>
                <w:color w:val="auto"/>
              </w:rPr>
            </w:pPr>
          </w:p>
        </w:tc>
      </w:tr>
      <w:tr>
        <w:trPr>
          <w:trHeight w:val="258"/>
        </w:trPr>
        <w:tc>
          <w:tcPr>
            <w:tcW w:w="78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Item 7.</w:t>
            </w:r>
          </w:p>
        </w:tc>
        <w:tc>
          <w:tcPr>
            <w:tcW w:w="10360" w:type="dxa"/>
            <w:vAlign w:val="bottom"/>
          </w:tcPr>
          <w:p>
            <w:pPr>
              <w:ind w:left="140"/>
              <w:spacing w:after="0"/>
              <w:rPr>
                <w:sz w:val="20"/>
                <w:szCs w:val="20"/>
                <w:color w:val="auto"/>
              </w:rPr>
            </w:pPr>
            <w:r>
              <w:rPr>
                <w:rFonts w:ascii="Times New Roman" w:cs="Times New Roman" w:eastAsia="Times New Roman" w:hAnsi="Times New Roman"/>
                <w:sz w:val="22"/>
                <w:szCs w:val="22"/>
                <w:color w:val="auto"/>
              </w:rPr>
              <w:t>Identification and Classification of the Subsidiary Which Acquired the Security Being Reported on by the Parent</w:t>
            </w:r>
          </w:p>
        </w:tc>
        <w:tc>
          <w:tcPr>
            <w:tcW w:w="0" w:type="dxa"/>
            <w:vAlign w:val="bottom"/>
          </w:tcPr>
          <w:p>
            <w:pPr>
              <w:spacing w:after="0"/>
              <w:rPr>
                <w:sz w:val="1"/>
                <w:szCs w:val="1"/>
                <w:color w:val="auto"/>
              </w:rPr>
            </w:pPr>
          </w:p>
        </w:tc>
      </w:tr>
      <w:tr>
        <w:trPr>
          <w:trHeight w:val="161"/>
        </w:trPr>
        <w:tc>
          <w:tcPr>
            <w:tcW w:w="780" w:type="dxa"/>
            <w:vAlign w:val="bottom"/>
            <w:vMerge w:val="continue"/>
          </w:tcPr>
          <w:p>
            <w:pPr>
              <w:spacing w:after="0"/>
              <w:rPr>
                <w:sz w:val="13"/>
                <w:szCs w:val="13"/>
                <w:color w:val="auto"/>
              </w:rPr>
            </w:pPr>
          </w:p>
        </w:tc>
        <w:tc>
          <w:tcPr>
            <w:tcW w:w="10360" w:type="dxa"/>
            <w:vAlign w:val="bottom"/>
            <w:vMerge w:val="restart"/>
          </w:tcPr>
          <w:p>
            <w:pPr>
              <w:ind w:left="140"/>
              <w:spacing w:after="0"/>
              <w:rPr>
                <w:sz w:val="20"/>
                <w:szCs w:val="20"/>
                <w:color w:val="auto"/>
              </w:rPr>
            </w:pPr>
            <w:r>
              <w:rPr>
                <w:rFonts w:ascii="Times New Roman" w:cs="Times New Roman" w:eastAsia="Times New Roman" w:hAnsi="Times New Roman"/>
                <w:sz w:val="22"/>
                <w:szCs w:val="22"/>
                <w:color w:val="auto"/>
              </w:rPr>
              <w:t>Holding Company or Control Person.</w:t>
            </w:r>
          </w:p>
        </w:tc>
        <w:tc>
          <w:tcPr>
            <w:tcW w:w="0" w:type="dxa"/>
            <w:vAlign w:val="bottom"/>
          </w:tcPr>
          <w:p>
            <w:pPr>
              <w:spacing w:after="0"/>
              <w:rPr>
                <w:sz w:val="1"/>
                <w:szCs w:val="1"/>
                <w:color w:val="auto"/>
              </w:rPr>
            </w:pPr>
          </w:p>
        </w:tc>
      </w:tr>
      <w:tr>
        <w:trPr>
          <w:trHeight w:val="122"/>
        </w:trPr>
        <w:tc>
          <w:tcPr>
            <w:tcW w:w="780" w:type="dxa"/>
            <w:vAlign w:val="bottom"/>
          </w:tcPr>
          <w:p>
            <w:pPr>
              <w:spacing w:after="0"/>
              <w:rPr>
                <w:sz w:val="10"/>
                <w:szCs w:val="10"/>
                <w:color w:val="auto"/>
              </w:rPr>
            </w:pPr>
          </w:p>
        </w:tc>
        <w:tc>
          <w:tcPr>
            <w:tcW w:w="1036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58"/>
        </w:trPr>
        <w:tc>
          <w:tcPr>
            <w:tcW w:w="780" w:type="dxa"/>
            <w:vAlign w:val="bottom"/>
          </w:tcPr>
          <w:p>
            <w:pPr>
              <w:spacing w:after="0"/>
              <w:rPr>
                <w:sz w:val="22"/>
                <w:szCs w:val="22"/>
                <w:color w:val="auto"/>
              </w:rPr>
            </w:pPr>
          </w:p>
        </w:tc>
        <w:tc>
          <w:tcPr>
            <w:tcW w:w="10360" w:type="dxa"/>
            <w:vAlign w:val="bottom"/>
          </w:tcPr>
          <w:p>
            <w:pPr>
              <w:ind w:left="140"/>
              <w:spacing w:after="0"/>
              <w:rPr>
                <w:sz w:val="20"/>
                <w:szCs w:val="20"/>
                <w:color w:val="auto"/>
              </w:rPr>
            </w:pPr>
            <w:r>
              <w:rPr>
                <w:rFonts w:ascii="Times New Roman" w:cs="Times New Roman" w:eastAsia="Times New Roman" w:hAnsi="Times New Roman"/>
                <w:sz w:val="22"/>
                <w:szCs w:val="22"/>
                <w:color w:val="auto"/>
                <w:w w:val="98"/>
              </w:rPr>
              <w:t>If a parent holding company has filed this schedule, pursuant to Rule 13d-1(b)(ii)(G), so indicate under Item 3(g) and</w:t>
            </w:r>
          </w:p>
        </w:tc>
        <w:tc>
          <w:tcPr>
            <w:tcW w:w="0" w:type="dxa"/>
            <w:vAlign w:val="bottom"/>
          </w:tcPr>
          <w:p>
            <w:pPr>
              <w:spacing w:after="0"/>
              <w:rPr>
                <w:sz w:val="1"/>
                <w:szCs w:val="1"/>
                <w:color w:val="auto"/>
              </w:rPr>
            </w:pPr>
          </w:p>
        </w:tc>
      </w:tr>
      <w:tr>
        <w:trPr>
          <w:trHeight w:val="243"/>
        </w:trPr>
        <w:tc>
          <w:tcPr>
            <w:tcW w:w="780" w:type="dxa"/>
            <w:vAlign w:val="bottom"/>
          </w:tcPr>
          <w:p>
            <w:pPr>
              <w:spacing w:after="0"/>
              <w:rPr>
                <w:sz w:val="21"/>
                <w:szCs w:val="21"/>
                <w:color w:val="auto"/>
              </w:rPr>
            </w:pPr>
          </w:p>
        </w:tc>
        <w:tc>
          <w:tcPr>
            <w:tcW w:w="10360" w:type="dxa"/>
            <w:vAlign w:val="bottom"/>
          </w:tcPr>
          <w:p>
            <w:pPr>
              <w:ind w:left="140"/>
              <w:spacing w:after="0" w:line="243" w:lineRule="exact"/>
              <w:rPr>
                <w:sz w:val="20"/>
                <w:szCs w:val="20"/>
                <w:color w:val="auto"/>
              </w:rPr>
            </w:pPr>
            <w:r>
              <w:rPr>
                <w:rFonts w:ascii="Times New Roman" w:cs="Times New Roman" w:eastAsia="Times New Roman" w:hAnsi="Times New Roman"/>
                <w:sz w:val="22"/>
                <w:szCs w:val="22"/>
                <w:color w:val="auto"/>
              </w:rPr>
              <w:t>attach an exhibit stating the identity and the Item 3 classification of the relevant subsidiary. If a parent holding</w:t>
            </w:r>
          </w:p>
        </w:tc>
        <w:tc>
          <w:tcPr>
            <w:tcW w:w="0" w:type="dxa"/>
            <w:vAlign w:val="bottom"/>
          </w:tcPr>
          <w:p>
            <w:pPr>
              <w:spacing w:after="0"/>
              <w:rPr>
                <w:sz w:val="1"/>
                <w:szCs w:val="1"/>
                <w:color w:val="auto"/>
              </w:rPr>
            </w:pPr>
          </w:p>
        </w:tc>
      </w:tr>
      <w:tr>
        <w:trPr>
          <w:trHeight w:val="243"/>
        </w:trPr>
        <w:tc>
          <w:tcPr>
            <w:tcW w:w="780" w:type="dxa"/>
            <w:vAlign w:val="bottom"/>
          </w:tcPr>
          <w:p>
            <w:pPr>
              <w:spacing w:after="0"/>
              <w:rPr>
                <w:sz w:val="21"/>
                <w:szCs w:val="21"/>
                <w:color w:val="auto"/>
              </w:rPr>
            </w:pPr>
          </w:p>
        </w:tc>
        <w:tc>
          <w:tcPr>
            <w:tcW w:w="10360" w:type="dxa"/>
            <w:vAlign w:val="bottom"/>
          </w:tcPr>
          <w:p>
            <w:pPr>
              <w:ind w:left="140"/>
              <w:spacing w:after="0" w:line="243" w:lineRule="exact"/>
              <w:rPr>
                <w:sz w:val="20"/>
                <w:szCs w:val="20"/>
                <w:color w:val="auto"/>
              </w:rPr>
            </w:pPr>
            <w:r>
              <w:rPr>
                <w:rFonts w:ascii="Times New Roman" w:cs="Times New Roman" w:eastAsia="Times New Roman" w:hAnsi="Times New Roman"/>
                <w:sz w:val="22"/>
                <w:szCs w:val="22"/>
                <w:color w:val="auto"/>
              </w:rPr>
              <w:t>company has filed this schedule pursuant to Rule 13d-1(c) or Rule 13d-1(d), attach an exhibit stating the</w:t>
            </w:r>
          </w:p>
        </w:tc>
        <w:tc>
          <w:tcPr>
            <w:tcW w:w="0" w:type="dxa"/>
            <w:vAlign w:val="bottom"/>
          </w:tcPr>
          <w:p>
            <w:pPr>
              <w:spacing w:after="0"/>
              <w:rPr>
                <w:sz w:val="1"/>
                <w:szCs w:val="1"/>
                <w:color w:val="auto"/>
              </w:rPr>
            </w:pPr>
          </w:p>
        </w:tc>
      </w:tr>
      <w:tr>
        <w:trPr>
          <w:trHeight w:val="282"/>
        </w:trPr>
        <w:tc>
          <w:tcPr>
            <w:tcW w:w="780" w:type="dxa"/>
            <w:vAlign w:val="bottom"/>
          </w:tcPr>
          <w:p>
            <w:pPr>
              <w:spacing w:after="0"/>
              <w:rPr>
                <w:sz w:val="24"/>
                <w:szCs w:val="24"/>
                <w:color w:val="auto"/>
              </w:rPr>
            </w:pPr>
          </w:p>
        </w:tc>
        <w:tc>
          <w:tcPr>
            <w:tcW w:w="10360" w:type="dxa"/>
            <w:vAlign w:val="bottom"/>
          </w:tcPr>
          <w:p>
            <w:pPr>
              <w:ind w:left="140"/>
              <w:spacing w:after="0"/>
              <w:rPr>
                <w:sz w:val="20"/>
                <w:szCs w:val="20"/>
                <w:color w:val="auto"/>
              </w:rPr>
            </w:pPr>
            <w:r>
              <w:rPr>
                <w:rFonts w:ascii="Times New Roman" w:cs="Times New Roman" w:eastAsia="Times New Roman" w:hAnsi="Times New Roman"/>
                <w:sz w:val="22"/>
                <w:szCs w:val="22"/>
                <w:color w:val="auto"/>
              </w:rPr>
              <w:t>identification of the relevant subsidiary.</w:t>
            </w:r>
          </w:p>
        </w:tc>
        <w:tc>
          <w:tcPr>
            <w:tcW w:w="0" w:type="dxa"/>
            <w:vAlign w:val="bottom"/>
          </w:tcPr>
          <w:p>
            <w:pPr>
              <w:spacing w:after="0"/>
              <w:rPr>
                <w:sz w:val="1"/>
                <w:szCs w:val="1"/>
                <w:color w:val="auto"/>
              </w:rPr>
            </w:pPr>
          </w:p>
        </w:tc>
      </w:tr>
      <w:tr>
        <w:trPr>
          <w:trHeight w:val="729"/>
        </w:trPr>
        <w:tc>
          <w:tcPr>
            <w:tcW w:w="780" w:type="dxa"/>
            <w:vAlign w:val="bottom"/>
          </w:tcPr>
          <w:p>
            <w:pPr>
              <w:spacing w:after="0"/>
              <w:rPr>
                <w:sz w:val="24"/>
                <w:szCs w:val="24"/>
                <w:color w:val="auto"/>
              </w:rPr>
            </w:pPr>
          </w:p>
        </w:tc>
        <w:tc>
          <w:tcPr>
            <w:tcW w:w="10360" w:type="dxa"/>
            <w:vAlign w:val="bottom"/>
          </w:tcPr>
          <w:p>
            <w:pPr>
              <w:ind w:left="140"/>
              <w:spacing w:after="0"/>
              <w:rPr>
                <w:sz w:val="20"/>
                <w:szCs w:val="20"/>
                <w:color w:val="auto"/>
              </w:rPr>
            </w:pPr>
            <w:r>
              <w:rPr>
                <w:rFonts w:ascii="Times New Roman" w:cs="Times New Roman" w:eastAsia="Times New Roman" w:hAnsi="Times New Roman"/>
                <w:sz w:val="22"/>
                <w:szCs w:val="22"/>
                <w:color w:val="auto"/>
              </w:rPr>
              <w:t>Not Applicable</w:t>
            </w:r>
          </w:p>
        </w:tc>
        <w:tc>
          <w:tcPr>
            <w:tcW w:w="0" w:type="dxa"/>
            <w:vAlign w:val="bottom"/>
          </w:tcPr>
          <w:p>
            <w:pPr>
              <w:spacing w:after="0"/>
              <w:rPr>
                <w:sz w:val="1"/>
                <w:szCs w:val="1"/>
                <w:color w:val="auto"/>
              </w:rPr>
            </w:pPr>
          </w:p>
        </w:tc>
      </w:tr>
      <w:tr>
        <w:trPr>
          <w:trHeight w:val="297"/>
        </w:trPr>
        <w:tc>
          <w:tcPr>
            <w:tcW w:w="780" w:type="dxa"/>
            <w:vAlign w:val="bottom"/>
          </w:tcPr>
          <w:p>
            <w:pPr>
              <w:spacing w:after="0"/>
              <w:rPr>
                <w:sz w:val="20"/>
                <w:szCs w:val="20"/>
                <w:color w:val="auto"/>
              </w:rPr>
            </w:pPr>
            <w:r>
              <w:rPr>
                <w:rFonts w:ascii="Times New Roman" w:cs="Times New Roman" w:eastAsia="Times New Roman" w:hAnsi="Times New Roman"/>
                <w:sz w:val="22"/>
                <w:szCs w:val="22"/>
                <w:color w:val="auto"/>
              </w:rPr>
              <w:t>Item 8.</w:t>
            </w:r>
          </w:p>
        </w:tc>
        <w:tc>
          <w:tcPr>
            <w:tcW w:w="10360" w:type="dxa"/>
            <w:vAlign w:val="bottom"/>
          </w:tcPr>
          <w:p>
            <w:pPr>
              <w:ind w:left="140"/>
              <w:spacing w:after="0"/>
              <w:rPr>
                <w:sz w:val="20"/>
                <w:szCs w:val="20"/>
                <w:color w:val="auto"/>
              </w:rPr>
            </w:pPr>
            <w:r>
              <w:rPr>
                <w:rFonts w:ascii="Times New Roman" w:cs="Times New Roman" w:eastAsia="Times New Roman" w:hAnsi="Times New Roman"/>
                <w:sz w:val="22"/>
                <w:szCs w:val="22"/>
                <w:color w:val="auto"/>
              </w:rPr>
              <w:t>Identification and Classification of Members of the Group.</w:t>
            </w:r>
          </w:p>
        </w:tc>
        <w:tc>
          <w:tcPr>
            <w:tcW w:w="0" w:type="dxa"/>
            <w:vAlign w:val="bottom"/>
          </w:tcPr>
          <w:p>
            <w:pPr>
              <w:spacing w:after="0"/>
              <w:rPr>
                <w:sz w:val="1"/>
                <w:szCs w:val="1"/>
                <w:color w:val="auto"/>
              </w:rPr>
            </w:pPr>
          </w:p>
        </w:tc>
      </w:tr>
      <w:tr>
        <w:trPr>
          <w:trHeight w:val="258"/>
        </w:trPr>
        <w:tc>
          <w:tcPr>
            <w:tcW w:w="780" w:type="dxa"/>
            <w:vAlign w:val="bottom"/>
          </w:tcPr>
          <w:p>
            <w:pPr>
              <w:spacing w:after="0"/>
              <w:rPr>
                <w:sz w:val="22"/>
                <w:szCs w:val="22"/>
                <w:color w:val="auto"/>
              </w:rPr>
            </w:pPr>
          </w:p>
        </w:tc>
        <w:tc>
          <w:tcPr>
            <w:tcW w:w="10360" w:type="dxa"/>
            <w:vAlign w:val="bottom"/>
          </w:tcPr>
          <w:p>
            <w:pPr>
              <w:ind w:left="140"/>
              <w:spacing w:after="0"/>
              <w:rPr>
                <w:sz w:val="20"/>
                <w:szCs w:val="20"/>
                <w:color w:val="auto"/>
              </w:rPr>
            </w:pPr>
            <w:r>
              <w:rPr>
                <w:rFonts w:ascii="Times New Roman" w:cs="Times New Roman" w:eastAsia="Times New Roman" w:hAnsi="Times New Roman"/>
                <w:sz w:val="22"/>
                <w:szCs w:val="22"/>
                <w:color w:val="auto"/>
                <w:w w:val="98"/>
              </w:rPr>
              <w:t>If a group has filed this schedule pursuant to §240.13d-1(b)(1)(ii)(J), so indicate under Item 3(j) and attach an exhibit</w:t>
            </w:r>
          </w:p>
        </w:tc>
        <w:tc>
          <w:tcPr>
            <w:tcW w:w="0" w:type="dxa"/>
            <w:vAlign w:val="bottom"/>
          </w:tcPr>
          <w:p>
            <w:pPr>
              <w:spacing w:after="0"/>
              <w:rPr>
                <w:sz w:val="1"/>
                <w:szCs w:val="1"/>
                <w:color w:val="auto"/>
              </w:rPr>
            </w:pPr>
          </w:p>
        </w:tc>
      </w:tr>
      <w:tr>
        <w:trPr>
          <w:trHeight w:val="243"/>
        </w:trPr>
        <w:tc>
          <w:tcPr>
            <w:tcW w:w="780" w:type="dxa"/>
            <w:vAlign w:val="bottom"/>
          </w:tcPr>
          <w:p>
            <w:pPr>
              <w:spacing w:after="0"/>
              <w:rPr>
                <w:sz w:val="21"/>
                <w:szCs w:val="21"/>
                <w:color w:val="auto"/>
              </w:rPr>
            </w:pPr>
          </w:p>
        </w:tc>
        <w:tc>
          <w:tcPr>
            <w:tcW w:w="10360" w:type="dxa"/>
            <w:vAlign w:val="bottom"/>
          </w:tcPr>
          <w:p>
            <w:pPr>
              <w:ind w:left="140"/>
              <w:spacing w:after="0" w:line="243" w:lineRule="exact"/>
              <w:rPr>
                <w:sz w:val="20"/>
                <w:szCs w:val="20"/>
                <w:color w:val="auto"/>
              </w:rPr>
            </w:pPr>
            <w:r>
              <w:rPr>
                <w:rFonts w:ascii="Times New Roman" w:cs="Times New Roman" w:eastAsia="Times New Roman" w:hAnsi="Times New Roman"/>
                <w:sz w:val="22"/>
                <w:szCs w:val="22"/>
                <w:color w:val="auto"/>
                <w:w w:val="99"/>
              </w:rPr>
              <w:t>stating the identity and Item 3 classification of each member of the group. If a group has filed this schedule pursuant</w:t>
            </w:r>
          </w:p>
        </w:tc>
        <w:tc>
          <w:tcPr>
            <w:tcW w:w="0" w:type="dxa"/>
            <w:vAlign w:val="bottom"/>
          </w:tcPr>
          <w:p>
            <w:pPr>
              <w:spacing w:after="0"/>
              <w:rPr>
                <w:sz w:val="1"/>
                <w:szCs w:val="1"/>
                <w:color w:val="auto"/>
              </w:rPr>
            </w:pPr>
          </w:p>
        </w:tc>
      </w:tr>
      <w:tr>
        <w:trPr>
          <w:trHeight w:val="282"/>
        </w:trPr>
        <w:tc>
          <w:tcPr>
            <w:tcW w:w="780" w:type="dxa"/>
            <w:vAlign w:val="bottom"/>
          </w:tcPr>
          <w:p>
            <w:pPr>
              <w:spacing w:after="0"/>
              <w:rPr>
                <w:sz w:val="24"/>
                <w:szCs w:val="24"/>
                <w:color w:val="auto"/>
              </w:rPr>
            </w:pPr>
          </w:p>
        </w:tc>
        <w:tc>
          <w:tcPr>
            <w:tcW w:w="10360" w:type="dxa"/>
            <w:vAlign w:val="bottom"/>
          </w:tcPr>
          <w:p>
            <w:pPr>
              <w:ind w:left="140"/>
              <w:spacing w:after="0"/>
              <w:rPr>
                <w:sz w:val="20"/>
                <w:szCs w:val="20"/>
                <w:color w:val="auto"/>
              </w:rPr>
            </w:pPr>
            <w:r>
              <w:rPr>
                <w:rFonts w:ascii="Times New Roman" w:cs="Times New Roman" w:eastAsia="Times New Roman" w:hAnsi="Times New Roman"/>
                <w:sz w:val="22"/>
                <w:szCs w:val="22"/>
                <w:color w:val="auto"/>
              </w:rPr>
              <w:t>to §240.13d-1(c) or §240.13d-1(d), attach an exhibit stating the identity of each member of the group.</w:t>
            </w:r>
          </w:p>
        </w:tc>
        <w:tc>
          <w:tcPr>
            <w:tcW w:w="0" w:type="dxa"/>
            <w:vAlign w:val="bottom"/>
          </w:tcPr>
          <w:p>
            <w:pPr>
              <w:spacing w:after="0"/>
              <w:rPr>
                <w:sz w:val="1"/>
                <w:szCs w:val="1"/>
                <w:color w:val="auto"/>
              </w:rPr>
            </w:pPr>
          </w:p>
        </w:tc>
      </w:tr>
      <w:tr>
        <w:trPr>
          <w:trHeight w:val="729"/>
        </w:trPr>
        <w:tc>
          <w:tcPr>
            <w:tcW w:w="780" w:type="dxa"/>
            <w:vAlign w:val="bottom"/>
          </w:tcPr>
          <w:p>
            <w:pPr>
              <w:spacing w:after="0"/>
              <w:rPr>
                <w:sz w:val="24"/>
                <w:szCs w:val="24"/>
                <w:color w:val="auto"/>
              </w:rPr>
            </w:pPr>
          </w:p>
        </w:tc>
        <w:tc>
          <w:tcPr>
            <w:tcW w:w="10360" w:type="dxa"/>
            <w:vAlign w:val="bottom"/>
          </w:tcPr>
          <w:p>
            <w:pPr>
              <w:ind w:left="140"/>
              <w:spacing w:after="0"/>
              <w:rPr>
                <w:sz w:val="20"/>
                <w:szCs w:val="20"/>
                <w:color w:val="auto"/>
              </w:rPr>
            </w:pPr>
            <w:r>
              <w:rPr>
                <w:rFonts w:ascii="Times New Roman" w:cs="Times New Roman" w:eastAsia="Times New Roman" w:hAnsi="Times New Roman"/>
                <w:sz w:val="22"/>
                <w:szCs w:val="22"/>
                <w:color w:val="auto"/>
              </w:rPr>
              <w:t>Not Applicable</w:t>
            </w:r>
          </w:p>
        </w:tc>
        <w:tc>
          <w:tcPr>
            <w:tcW w:w="0" w:type="dxa"/>
            <w:vAlign w:val="bottom"/>
          </w:tcPr>
          <w:p>
            <w:pPr>
              <w:spacing w:after="0"/>
              <w:rPr>
                <w:sz w:val="1"/>
                <w:szCs w:val="1"/>
                <w:color w:val="auto"/>
              </w:rPr>
            </w:pPr>
          </w:p>
        </w:tc>
      </w:tr>
      <w:tr>
        <w:trPr>
          <w:trHeight w:val="297"/>
        </w:trPr>
        <w:tc>
          <w:tcPr>
            <w:tcW w:w="780" w:type="dxa"/>
            <w:vAlign w:val="bottom"/>
          </w:tcPr>
          <w:p>
            <w:pPr>
              <w:spacing w:after="0"/>
              <w:rPr>
                <w:sz w:val="20"/>
                <w:szCs w:val="20"/>
                <w:color w:val="auto"/>
              </w:rPr>
            </w:pPr>
            <w:r>
              <w:rPr>
                <w:rFonts w:ascii="Times New Roman" w:cs="Times New Roman" w:eastAsia="Times New Roman" w:hAnsi="Times New Roman"/>
                <w:sz w:val="22"/>
                <w:szCs w:val="22"/>
                <w:color w:val="auto"/>
              </w:rPr>
              <w:t>Item 9.</w:t>
            </w:r>
          </w:p>
        </w:tc>
        <w:tc>
          <w:tcPr>
            <w:tcW w:w="10360" w:type="dxa"/>
            <w:vAlign w:val="bottom"/>
          </w:tcPr>
          <w:p>
            <w:pPr>
              <w:ind w:left="140"/>
              <w:spacing w:after="0"/>
              <w:rPr>
                <w:sz w:val="20"/>
                <w:szCs w:val="20"/>
                <w:color w:val="auto"/>
              </w:rPr>
            </w:pPr>
            <w:r>
              <w:rPr>
                <w:rFonts w:ascii="Times New Roman" w:cs="Times New Roman" w:eastAsia="Times New Roman" w:hAnsi="Times New Roman"/>
                <w:sz w:val="22"/>
                <w:szCs w:val="22"/>
                <w:color w:val="auto"/>
              </w:rPr>
              <w:t>Notice of Dissolution of Group.</w:t>
            </w:r>
          </w:p>
        </w:tc>
        <w:tc>
          <w:tcPr>
            <w:tcW w:w="0" w:type="dxa"/>
            <w:vAlign w:val="bottom"/>
          </w:tcPr>
          <w:p>
            <w:pPr>
              <w:spacing w:after="0"/>
              <w:rPr>
                <w:sz w:val="1"/>
                <w:szCs w:val="1"/>
                <w:color w:val="auto"/>
              </w:rPr>
            </w:pPr>
          </w:p>
        </w:tc>
      </w:tr>
      <w:tr>
        <w:trPr>
          <w:trHeight w:val="258"/>
        </w:trPr>
        <w:tc>
          <w:tcPr>
            <w:tcW w:w="780" w:type="dxa"/>
            <w:vAlign w:val="bottom"/>
          </w:tcPr>
          <w:p>
            <w:pPr>
              <w:spacing w:after="0"/>
              <w:rPr>
                <w:sz w:val="22"/>
                <w:szCs w:val="22"/>
                <w:color w:val="auto"/>
              </w:rPr>
            </w:pPr>
          </w:p>
        </w:tc>
        <w:tc>
          <w:tcPr>
            <w:tcW w:w="10360" w:type="dxa"/>
            <w:vAlign w:val="bottom"/>
          </w:tcPr>
          <w:p>
            <w:pPr>
              <w:ind w:left="140"/>
              <w:spacing w:after="0"/>
              <w:rPr>
                <w:sz w:val="20"/>
                <w:szCs w:val="20"/>
                <w:color w:val="auto"/>
              </w:rPr>
            </w:pPr>
            <w:r>
              <w:rPr>
                <w:rFonts w:ascii="Times New Roman" w:cs="Times New Roman" w:eastAsia="Times New Roman" w:hAnsi="Times New Roman"/>
                <w:sz w:val="22"/>
                <w:szCs w:val="22"/>
                <w:color w:val="auto"/>
                <w:w w:val="99"/>
              </w:rPr>
              <w:t>Notice of dissolution of a group may be furnished as an exhibit stating the date of the dissolution and that all further</w:t>
            </w:r>
          </w:p>
        </w:tc>
        <w:tc>
          <w:tcPr>
            <w:tcW w:w="0" w:type="dxa"/>
            <w:vAlign w:val="bottom"/>
          </w:tcPr>
          <w:p>
            <w:pPr>
              <w:spacing w:after="0"/>
              <w:rPr>
                <w:sz w:val="1"/>
                <w:szCs w:val="1"/>
                <w:color w:val="auto"/>
              </w:rPr>
            </w:pPr>
          </w:p>
        </w:tc>
      </w:tr>
      <w:tr>
        <w:trPr>
          <w:trHeight w:val="243"/>
        </w:trPr>
        <w:tc>
          <w:tcPr>
            <w:tcW w:w="780" w:type="dxa"/>
            <w:vAlign w:val="bottom"/>
          </w:tcPr>
          <w:p>
            <w:pPr>
              <w:spacing w:after="0"/>
              <w:rPr>
                <w:sz w:val="21"/>
                <w:szCs w:val="21"/>
                <w:color w:val="auto"/>
              </w:rPr>
            </w:pPr>
          </w:p>
        </w:tc>
        <w:tc>
          <w:tcPr>
            <w:tcW w:w="10360" w:type="dxa"/>
            <w:vAlign w:val="bottom"/>
          </w:tcPr>
          <w:p>
            <w:pPr>
              <w:ind w:left="140"/>
              <w:spacing w:after="0" w:line="243" w:lineRule="exact"/>
              <w:rPr>
                <w:sz w:val="20"/>
                <w:szCs w:val="20"/>
                <w:color w:val="auto"/>
              </w:rPr>
            </w:pPr>
            <w:r>
              <w:rPr>
                <w:rFonts w:ascii="Times New Roman" w:cs="Times New Roman" w:eastAsia="Times New Roman" w:hAnsi="Times New Roman"/>
                <w:sz w:val="22"/>
                <w:szCs w:val="22"/>
                <w:color w:val="auto"/>
              </w:rPr>
              <w:t>filings with respect to transactions in the security reported on will be filed, if required, by members of the group, in</w:t>
            </w:r>
          </w:p>
        </w:tc>
        <w:tc>
          <w:tcPr>
            <w:tcW w:w="0" w:type="dxa"/>
            <w:vAlign w:val="bottom"/>
          </w:tcPr>
          <w:p>
            <w:pPr>
              <w:spacing w:after="0"/>
              <w:rPr>
                <w:sz w:val="1"/>
                <w:szCs w:val="1"/>
                <w:color w:val="auto"/>
              </w:rPr>
            </w:pPr>
          </w:p>
        </w:tc>
      </w:tr>
      <w:tr>
        <w:trPr>
          <w:trHeight w:val="282"/>
        </w:trPr>
        <w:tc>
          <w:tcPr>
            <w:tcW w:w="780" w:type="dxa"/>
            <w:vAlign w:val="bottom"/>
          </w:tcPr>
          <w:p>
            <w:pPr>
              <w:spacing w:after="0"/>
              <w:rPr>
                <w:sz w:val="24"/>
                <w:szCs w:val="24"/>
                <w:color w:val="auto"/>
              </w:rPr>
            </w:pPr>
          </w:p>
        </w:tc>
        <w:tc>
          <w:tcPr>
            <w:tcW w:w="10360" w:type="dxa"/>
            <w:vAlign w:val="bottom"/>
          </w:tcPr>
          <w:p>
            <w:pPr>
              <w:ind w:left="140"/>
              <w:spacing w:after="0"/>
              <w:rPr>
                <w:sz w:val="20"/>
                <w:szCs w:val="20"/>
                <w:color w:val="auto"/>
              </w:rPr>
            </w:pPr>
            <w:r>
              <w:rPr>
                <w:rFonts w:ascii="Times New Roman" w:cs="Times New Roman" w:eastAsia="Times New Roman" w:hAnsi="Times New Roman"/>
                <w:sz w:val="22"/>
                <w:szCs w:val="22"/>
                <w:color w:val="auto"/>
              </w:rPr>
              <w:t>their individual capacity. See Item 5.</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588010</wp:posOffset>
            </wp:positionH>
            <wp:positionV relativeFrom="paragraph">
              <wp:posOffset>-9471025</wp:posOffset>
            </wp:positionV>
            <wp:extent cx="128905" cy="12890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128905" cy="128905"/>
                    </a:xfrm>
                    <a:prstGeom prst="rect">
                      <a:avLst/>
                    </a:prstGeom>
                    <a:noFill/>
                  </pic:spPr>
                </pic:pic>
              </a:graphicData>
            </a:graphic>
          </wp:anchor>
        </w:drawing>
        <w:drawing>
          <wp:anchor simplePos="0" relativeHeight="251657728" behindDoc="1" locked="0" layoutInCell="0" allowOverlap="1">
            <wp:simplePos x="0" y="0"/>
            <wp:positionH relativeFrom="column">
              <wp:posOffset>588010</wp:posOffset>
            </wp:positionH>
            <wp:positionV relativeFrom="paragraph">
              <wp:posOffset>-4919345</wp:posOffset>
            </wp:positionV>
            <wp:extent cx="128905" cy="12890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ectPr>
          <w:pgSz w:w="11900" w:h="16916" w:orient="portrait"/>
          <w:cols w:equalWidth="0" w:num="1">
            <w:col w:w="11140"/>
          </w:cols>
          <w:pgMar w:left="360" w:top="126" w:right="399" w:bottom="0" w:gutter="0" w:footer="0" w:header="0"/>
        </w:sectPr>
      </w:pPr>
    </w:p>
    <w:bookmarkStart w:id="3" w:name="page4"/>
    <w:bookmarkEnd w:id="3"/>
    <w:p>
      <w:pPr>
        <w:ind w:left="920"/>
        <w:spacing w:after="0"/>
        <w:rPr>
          <w:sz w:val="20"/>
          <w:szCs w:val="20"/>
          <w:color w:val="auto"/>
        </w:rPr>
      </w:pPr>
      <w:r>
        <w:rPr>
          <w:rFonts w:ascii="Times New Roman" w:cs="Times New Roman" w:eastAsia="Times New Roman" w:hAnsi="Times New Roman"/>
          <w:sz w:val="22"/>
          <w:szCs w:val="22"/>
          <w:color w:val="auto"/>
        </w:rPr>
        <w:t>Not Applicable</w:t>
      </w:r>
    </w:p>
    <w:p>
      <w:pPr>
        <w:spacing w:after="0" w:line="314" w:lineRule="exact"/>
        <w:rPr>
          <w:sz w:val="20"/>
          <w:szCs w:val="20"/>
          <w:color w:val="auto"/>
        </w:rPr>
      </w:pPr>
    </w:p>
    <w:p>
      <w:pPr>
        <w:spacing w:after="0"/>
        <w:tabs>
          <w:tab w:leader="none" w:pos="920" w:val="left"/>
        </w:tabs>
        <w:rPr>
          <w:sz w:val="20"/>
          <w:szCs w:val="20"/>
          <w:color w:val="auto"/>
        </w:rPr>
      </w:pPr>
      <w:r>
        <w:rPr>
          <w:rFonts w:ascii="Times New Roman" w:cs="Times New Roman" w:eastAsia="Times New Roman" w:hAnsi="Times New Roman"/>
          <w:sz w:val="22"/>
          <w:szCs w:val="22"/>
          <w:color w:val="auto"/>
        </w:rPr>
        <w:t>Item 10.</w:t>
      </w:r>
      <w:r>
        <w:rPr>
          <w:sz w:val="20"/>
          <w:szCs w:val="20"/>
          <w:color w:val="auto"/>
        </w:rPr>
        <w:tab/>
      </w:r>
      <w:r>
        <w:rPr>
          <w:rFonts w:ascii="Times New Roman" w:cs="Times New Roman" w:eastAsia="Times New Roman" w:hAnsi="Times New Roman"/>
          <w:sz w:val="21"/>
          <w:szCs w:val="21"/>
          <w:color w:val="auto"/>
        </w:rPr>
        <w:t>Certifications:</w:t>
      </w:r>
    </w:p>
    <w:p>
      <w:pPr>
        <w:spacing w:after="0" w:line="44" w:lineRule="exact"/>
        <w:rPr>
          <w:sz w:val="20"/>
          <w:szCs w:val="20"/>
          <w:color w:val="auto"/>
        </w:rPr>
      </w:pPr>
    </w:p>
    <w:p>
      <w:pPr>
        <w:ind w:left="940" w:right="60"/>
        <w:spacing w:after="0" w:line="239" w:lineRule="auto"/>
        <w:rPr>
          <w:sz w:val="20"/>
          <w:szCs w:val="20"/>
          <w:color w:val="auto"/>
        </w:rPr>
      </w:pPr>
      <w:r>
        <w:rPr>
          <w:rFonts w:ascii="Times New Roman" w:cs="Times New Roman" w:eastAsia="Times New Roman" w:hAnsi="Times New Roman"/>
          <w:sz w:val="22"/>
          <w:szCs w:val="22"/>
          <w:color w:val="auto"/>
        </w:rPr>
        <w:t>By signing below I certify that, to the best of my knowledge and belief, the securities referred to above were acquired and are held in the ordinary course of business and were not acquired and are not held for the purpose of or with the effect of changing or influencing the control of the issuer of the securities and were not acquired and are not held in connection with or as a participant in any transaction having that purpose or effect.</w:t>
      </w:r>
    </w:p>
    <w:p>
      <w:pPr>
        <w:spacing w:after="0" w:line="288"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22"/>
          <w:szCs w:val="22"/>
          <w:color w:val="auto"/>
        </w:rPr>
        <w:t>SIGNATURE</w:t>
      </w:r>
    </w:p>
    <w:p>
      <w:pPr>
        <w:spacing w:after="0" w:line="44" w:lineRule="exact"/>
        <w:rPr>
          <w:sz w:val="20"/>
          <w:szCs w:val="20"/>
          <w:color w:val="auto"/>
        </w:rPr>
      </w:pPr>
    </w:p>
    <w:p>
      <w:pPr>
        <w:ind w:left="1480" w:right="20"/>
        <w:spacing w:after="0" w:line="258" w:lineRule="auto"/>
        <w:rPr>
          <w:sz w:val="20"/>
          <w:szCs w:val="20"/>
          <w:color w:val="auto"/>
        </w:rPr>
      </w:pPr>
      <w:r>
        <w:rPr>
          <w:rFonts w:ascii="Times New Roman" w:cs="Times New Roman" w:eastAsia="Times New Roman" w:hAnsi="Times New Roman"/>
          <w:sz w:val="22"/>
          <w:szCs w:val="22"/>
          <w:color w:val="auto"/>
        </w:rPr>
        <w:t>After reasonable inquiry and to the best of my knowledge and belief, I certify that the information set forth in this statement is true, complete and correct.</w:t>
      </w:r>
    </w:p>
    <w:p>
      <w:pPr>
        <w:spacing w:after="0" w:line="307" w:lineRule="exact"/>
        <w:rPr>
          <w:sz w:val="20"/>
          <w:szCs w:val="20"/>
          <w:color w:val="auto"/>
        </w:rPr>
      </w:pPr>
    </w:p>
    <w:p>
      <w:pPr>
        <w:ind w:left="2780"/>
        <w:spacing w:after="0"/>
        <w:rPr>
          <w:sz w:val="20"/>
          <w:szCs w:val="20"/>
          <w:color w:val="auto"/>
        </w:rPr>
      </w:pPr>
      <w:r>
        <w:rPr>
          <w:rFonts w:ascii="Times New Roman" w:cs="Times New Roman" w:eastAsia="Times New Roman" w:hAnsi="Times New Roman"/>
          <w:sz w:val="22"/>
          <w:szCs w:val="22"/>
          <w:color w:val="auto"/>
        </w:rPr>
        <w:t>ROYCE &amp; ASSOCIATES LP</w:t>
      </w:r>
    </w:p>
    <w:p>
      <w:pPr>
        <w:spacing w:after="0" w:line="152" w:lineRule="exact"/>
        <w:rPr>
          <w:sz w:val="20"/>
          <w:szCs w:val="20"/>
          <w:color w:val="auto"/>
        </w:rPr>
      </w:pPr>
    </w:p>
    <w:p>
      <w:pPr>
        <w:ind w:left="2900"/>
        <w:spacing w:after="0"/>
        <w:tabs>
          <w:tab w:leader="none" w:pos="3980" w:val="left"/>
        </w:tabs>
        <w:rPr>
          <w:sz w:val="20"/>
          <w:szCs w:val="20"/>
          <w:color w:val="auto"/>
        </w:rPr>
      </w:pPr>
      <w:r>
        <w:rPr>
          <w:rFonts w:ascii="Times New Roman" w:cs="Times New Roman" w:eastAsia="Times New Roman" w:hAnsi="Times New Roman"/>
          <w:sz w:val="22"/>
          <w:szCs w:val="22"/>
          <w:color w:val="auto"/>
        </w:rPr>
        <w:t>Signature:</w:t>
      </w:r>
      <w:r>
        <w:rPr>
          <w:sz w:val="20"/>
          <w:szCs w:val="20"/>
          <w:color w:val="auto"/>
        </w:rPr>
        <w:tab/>
      </w:r>
      <w:r>
        <w:rPr>
          <w:rFonts w:ascii="Times New Roman" w:cs="Times New Roman" w:eastAsia="Times New Roman" w:hAnsi="Times New Roman"/>
          <w:sz w:val="21"/>
          <w:szCs w:val="21"/>
          <w:color w:val="auto"/>
        </w:rPr>
        <w:t>Daniel A. O'Byrne</w:t>
      </w:r>
    </w:p>
    <w:p>
      <w:pPr>
        <w:spacing w:after="0" w:line="44" w:lineRule="exact"/>
        <w:rPr>
          <w:sz w:val="20"/>
          <w:szCs w:val="20"/>
          <w:color w:val="auto"/>
        </w:rPr>
      </w:pPr>
    </w:p>
    <w:p>
      <w:pPr>
        <w:ind w:left="2900"/>
        <w:spacing w:after="0"/>
        <w:rPr>
          <w:sz w:val="20"/>
          <w:szCs w:val="20"/>
          <w:color w:val="auto"/>
        </w:rPr>
      </w:pPr>
      <w:r>
        <w:rPr>
          <w:rFonts w:ascii="Times New Roman" w:cs="Times New Roman" w:eastAsia="Times New Roman" w:hAnsi="Times New Roman"/>
          <w:sz w:val="22"/>
          <w:szCs w:val="22"/>
          <w:color w:val="auto"/>
        </w:rPr>
        <w:t>Name/Title: Vice President</w:t>
      </w:r>
    </w:p>
    <w:p>
      <w:pPr>
        <w:spacing w:after="0" w:line="44" w:lineRule="exact"/>
        <w:rPr>
          <w:sz w:val="20"/>
          <w:szCs w:val="20"/>
          <w:color w:val="auto"/>
        </w:rPr>
      </w:pPr>
    </w:p>
    <w:p>
      <w:pPr>
        <w:ind w:left="2900"/>
        <w:spacing w:after="0"/>
        <w:tabs>
          <w:tab w:leader="none" w:pos="3980" w:val="left"/>
        </w:tabs>
        <w:rPr>
          <w:sz w:val="20"/>
          <w:szCs w:val="20"/>
          <w:color w:val="auto"/>
        </w:rPr>
      </w:pPr>
      <w:r>
        <w:rPr>
          <w:rFonts w:ascii="Times New Roman" w:cs="Times New Roman" w:eastAsia="Times New Roman" w:hAnsi="Times New Roman"/>
          <w:sz w:val="22"/>
          <w:szCs w:val="22"/>
          <w:color w:val="auto"/>
        </w:rPr>
        <w:t>Date:</w:t>
      </w:r>
      <w:r>
        <w:rPr>
          <w:sz w:val="20"/>
          <w:szCs w:val="20"/>
          <w:color w:val="auto"/>
        </w:rPr>
        <w:tab/>
      </w:r>
      <w:r>
        <w:rPr>
          <w:rFonts w:ascii="Times New Roman" w:cs="Times New Roman" w:eastAsia="Times New Roman" w:hAnsi="Times New Roman"/>
          <w:sz w:val="22"/>
          <w:szCs w:val="22"/>
          <w:color w:val="auto"/>
        </w:rPr>
        <w:t>01/27/2026</w:t>
      </w:r>
    </w:p>
    <w:p>
      <w:pPr>
        <w:spacing w:after="0" w:line="108" w:lineRule="exact"/>
        <w:rPr>
          <w:sz w:val="20"/>
          <w:szCs w:val="20"/>
          <w:color w:val="auto"/>
        </w:rPr>
      </w:pPr>
    </w:p>
    <w:p>
      <w:pPr>
        <w:jc w:val="center"/>
        <w:ind w:right="60"/>
        <w:spacing w:after="0"/>
        <w:rPr>
          <w:sz w:val="20"/>
          <w:szCs w:val="20"/>
          <w:color w:val="auto"/>
        </w:rPr>
      </w:pPr>
      <w:r>
        <w:rPr>
          <w:rFonts w:ascii="Times New Roman" w:cs="Times New Roman" w:eastAsia="Times New Roman" w:hAnsi="Times New Roman"/>
          <w:sz w:val="22"/>
          <w:szCs w:val="22"/>
          <w:b w:val="1"/>
          <w:bCs w:val="1"/>
          <w:color w:val="auto"/>
        </w:rPr>
        <w:t>Exhibit Information</w:t>
      </w:r>
    </w:p>
    <w:p>
      <w:pPr>
        <w:spacing w:after="0" w:line="291" w:lineRule="exact"/>
        <w:rPr>
          <w:sz w:val="20"/>
          <w:szCs w:val="20"/>
          <w:color w:val="auto"/>
        </w:rPr>
      </w:pPr>
    </w:p>
    <w:p>
      <w:pPr>
        <w:spacing w:after="0" w:line="231" w:lineRule="auto"/>
        <w:rPr>
          <w:sz w:val="20"/>
          <w:szCs w:val="20"/>
          <w:color w:val="auto"/>
        </w:rPr>
      </w:pPr>
      <w:r>
        <w:rPr>
          <w:rFonts w:ascii="Times New Roman" w:cs="Times New Roman" w:eastAsia="Times New Roman" w:hAnsi="Times New Roman"/>
          <w:sz w:val="22"/>
          <w:szCs w:val="22"/>
          <w:color w:val="auto"/>
        </w:rPr>
        <w:t>The securities reported herein are beneficially owned by one or more registered investment companies or other managed accounts that are investment management clients of Royce &amp; Associates, LP ("RALP"), an indirect majority owned subsidiary of Franklin Resources, Inc.("FRI"). When an investment management contract (including a sub advisory agreement) delegates to RALP investment discretion or voting power over the securities held in the investment advisory accounts that are subject to that agreement, FRI treats RALP as having sole investment discretion or voting authority, as the case may be, unless the agreement specifies otherwise. Accordingly, RALP reports on Schedule 13G that it has sole investment discretion and voting authority over the securities covered by any such investment managementagreement, unless otherwise noted in this Item 4. As a result, for purposes of Rule 13d 3 under the Act, RALP may be deemed to be the beneficial owner of the securities reported in this Schedule 13G. Beneficial ownership by investment management subsidiaries and other affiliates of FRI is being reported in conformity with the guidelines articulated by the SEC staff in Release No. 3439538 (January 12, 1998) relating to organizations, such as FRI, where related entities exercise voting and investment powers over the securities being reported independently from eachother. The voting and investment powers held by RALP are exercised independently from FRI(RALP's parent holding company) and from all other investment management subsidiaries of FRI (FRI, its affiliates and investment management subsidiaries other than RALP are, collectively, "FRI affiliates"). Furthermore, internal policies and procedures of RALP and FRI affiliates establish informational barriers that prevent the flow between RALP and the FRI affiliates of information that relates to the voting and investment powers over the securities owned by their respective investment management clients. Consequently, RALP and the FRI affiliates report the securities over which they hold investment and voting power separately from each other for purposes of Section 13 of the Act. Charles B. Johnson and Rupert H. Johnson, Jr. (the "Principal Shareholders") may each own in excess of 10% of the outstanding common stock of FRI and are the principal stockholders of FRI (see FRI's Proxy Statement-Stock Ownership of Certain Beneficial Owners). However, because RALP exercises voting and investment powers on behalf of its investment management clients independently of FRI affiliates, beneficial ownership of the securities reported by RALP is not attributed to the Principal Shareholders. RALP disclaims any pecuniary interest in any of the securities reported in this Schedule 13G. In addition, the filing of this Schedule 13G on behalf of RALP should not be construed as an admission that it is, and it disclaims that it is, the beneficial owner, as defined in Rule 13d 3, of any of such securities. Furthermore, RALP believes that it is not a "group" with FRI affiliates, the Principal Shareholders, or their respective affiliates within the meaning of Rule 13d 5 under the Act and that none of them is otherwise required to attribute to any other the beneficial ownership of the securities held by such person or by any persons or entities for whom or for which RALP or the FRI affiliates provide investment management services.</w:t>
      </w:r>
    </w:p>
    <w:sectPr>
      <w:pgSz w:w="11900" w:h="16838" w:orient="portrait"/>
      <w:cols w:equalWidth="0" w:num="1">
        <w:col w:w="11160"/>
      </w:cols>
      <w:pgMar w:left="360" w:top="598" w:right="37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http://schemas.openxmlformats.org/wordprocessingml/2006/main">
  <w:abstractNum w:abstractNumId="0">
    <w:nsid w:val="74B0DC51"/>
    <w:multiLevelType w:val="hybridMultilevel"/>
    <w:lvl w:ilvl="0">
      <w:lvlJc w:val="left"/>
      <w:lvlText w:val="2"/>
      <w:numFmt w:val="bullet"/>
      <w:start w:val="1"/>
    </w:lvl>
  </w:abstractNum>
  <w:abstractNum w:abstractNumId="1">
    <w:nsid w:val="19495CFF"/>
    <w:multiLevelType w:val="hybridMultilevel"/>
    <w:lvl w:ilvl="0">
      <w:lvlJc w:val="left"/>
      <w:lvlText w:val="3"/>
      <w:numFmt w:val="bullet"/>
      <w:start w:val="1"/>
    </w:lvl>
  </w:abstractNum>
  <w:abstractNum w:abstractNumId="2">
    <w:nsid w:val="2AE8944A"/>
    <w:multiLevelType w:val="hybridMultilevel"/>
    <w:lvl w:ilvl="0">
      <w:lvlJc w:val="left"/>
      <w:lvlText w:val="(%1)"/>
      <w:numFmt w:val="lowerLetter"/>
      <w:start w:val="1"/>
    </w:lvl>
  </w:abstractNum>
  <w:abstractNum w:abstractNumId="3">
    <w:nsid w:val="625558EC"/>
    <w:multiLevelType w:val="hybridMultilevel"/>
    <w:lvl w:ilvl="0">
      <w:lvlJc w:val="left"/>
      <w:lvlText w:val="(%1)"/>
      <w:numFmt w:val="lowerLetter"/>
      <w:start w:val="8"/>
    </w:lvl>
  </w:abstractNum>
  <w:num w:numId="1">
    <w:abstractNumId w:val="0"/>
  </w:num>
  <w:num w:numId="2">
    <w:abstractNumId w:val="1"/>
  </w:num>
  <w:num w:numId="3">
    <w:abstractNumId w:val="2"/>
  </w:num>
  <w:num w:numId="4">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jpeg"/><Relationship Id="rId15" Type="http://schemas.openxmlformats.org/officeDocument/2006/relationships/image" Target="media/image8.jpe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jpeg"/><Relationship Id="rId19" Type="http://schemas.openxmlformats.org/officeDocument/2006/relationships/image" Target="media/image12.jpeg"/><Relationship Id="rId20" Type="http://schemas.openxmlformats.org/officeDocument/2006/relationships/image" Target="media/image13.jpeg"/><Relationship Id="rId21" Type="http://schemas.openxmlformats.org/officeDocument/2006/relationships/image" Target="media/image14.jpeg"/><Relationship Id="rId22" Type="http://schemas.openxmlformats.org/officeDocument/2006/relationships/image" Target="media/image15.jpeg"/><Relationship Id="rId23" Type="http://schemas.openxmlformats.org/officeDocument/2006/relationships/image" Target="media/image16.jpeg"/><Relationship Id="rId24" Type="http://schemas.openxmlformats.org/officeDocument/2006/relationships/image" Target="media/image17.jpeg"/><Relationship Id="rId25" Type="http://schemas.openxmlformats.org/officeDocument/2006/relationships/image" Target="media/image18.jpeg"/><Relationship Id="rId26" Type="http://schemas.openxmlformats.org/officeDocument/2006/relationships/image" Target="media/image19.jpeg"/><Relationship Id="rId27" Type="http://schemas.openxmlformats.org/officeDocument/2006/relationships/image" Target="media/image20.jpeg"/><Relationship Id="rId28" Type="http://schemas.openxmlformats.org/officeDocument/2006/relationships/image" Target="media/image21.jpeg"/><Relationship Id="rId29" Type="http://schemas.openxmlformats.org/officeDocument/2006/relationships/image" Target="media/image22.jpeg"/><Relationship Id="rId30" Type="http://schemas.openxmlformats.org/officeDocument/2006/relationships/image" Target="media/image23.jpeg"/><Relationship Id="rId31" Type="http://schemas.openxmlformats.org/officeDocument/2006/relationships/image" Target="media/image24.jpeg"/><Relationship Id="rId32" Type="http://schemas.openxmlformats.org/officeDocument/2006/relationships/image" Target="media/image25.jpeg"/><Relationship Id="rId33" Type="http://schemas.openxmlformats.org/officeDocument/2006/relationships/image" Target="media/image26.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2026-01-27T12:01:33Z</dcterms:created>
  <dcterms:modified xsi:type="dcterms:W3CDTF">2026-01-27T12:01:33Z</dcterms:modified>
</cp:coreProperties>
</file>