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LUNA INNOVATIONS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550351100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01/06/2025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550351100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2"/>
        <w:gridCol w:w="9078"/>
        <w:gridCol w:w="155"/>
      </w:tblGrid>
      <w:tr>
        <w:trPr/>
        <w:tc>
          <w:tcPr>
            <w:tcW w:w="972"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LUNA INNOVATIONS INC</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FIRST STREET SW, 301 FIRST STREET SW, ROANOKE, VIRGINIA, 24011.</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jc w:val="left"/>
              <w:rPr/>
            </w:pPr>
            <w:r>
              <w:rPr/>
              <w:t xml:space="preserve">CUSIP No.: </w:t>
            </w:r>
          </w:p>
          <w:p>
            <w:pPr>
              <w:pStyle w:val="TableContents"/>
              <w:bidi w:val="0"/>
              <w:spacing w:before="0" w:after="0"/>
              <w:jc w:val="left"/>
              <w:rPr/>
            </w:pPr>
            <w:r>
              <w:rPr/>
              <w:t>550351100</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(g)</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(h)</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(j)</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(k)</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Mikes Yeates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CEO</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05/12/2025</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3708</Characters>
  <CharactersWithSpaces>4434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