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89" w:type="dxa"/>
        <w:jc w:val="right"/>
        <w:tblInd w:w="0" w:type="dxa"/>
        <w:tblLayout w:type="fixed"/>
        <w:tblCellMar>
          <w:top w:w="28" w:type="dxa"/>
          <w:left w:w="28" w:type="dxa"/>
          <w:bottom w:w="28" w:type="dxa"/>
          <w:right w:w="28" w:type="dxa"/>
        </w:tblCellMar>
      </w:tblPr>
      <w:tblGrid>
        <w:gridCol w:w="511"/>
        <w:gridCol w:w="448"/>
        <w:gridCol w:w="2930"/>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ind w:left="0" w:right="0" w:firstLine="575"/>
              <w:jc w:val="left"/>
              <w:rPr>
                <w:sz w:val="4"/>
                <w:szCs w:val="4"/>
              </w:rPr>
            </w:pPr>
            <w:r>
              <w:rPr>
                <w:sz w:val="4"/>
                <w:szCs w:val="4"/>
              </w:rPr>
            </w:r>
          </w:p>
        </w:tc>
      </w:tr>
      <w:tr>
        <w:trPr/>
        <w:tc>
          <w:tcPr>
            <w:tcW w:w="38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OMB APPROVAL</w:t>
            </w:r>
          </w:p>
        </w:tc>
      </w:tr>
      <w:tr>
        <w:trPr/>
        <w:tc>
          <w:tcPr>
            <w:tcW w:w="388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ind w:left="0" w:right="0" w:firstLine="35"/>
              <w:jc w:val="left"/>
              <w:rPr>
                <w:rFonts w:ascii="Times New Roman;sans-serif" w:hAnsi="Times New Roman;sans-serif"/>
                <w:b w:val="false"/>
                <w:color w:val="000000"/>
                <w:sz w:val="18"/>
              </w:rPr>
            </w:pPr>
            <w:r>
              <w:rPr>
                <w:rFonts w:ascii="Times New Roman;sans-serif" w:hAnsi="Times New Roman;sans-serif"/>
                <w:b w:val="false"/>
                <w:color w:val="000000"/>
                <w:sz w:val="18"/>
              </w:rPr>
              <w:t>OMB Number: 3235-0167</w:t>
            </w:r>
          </w:p>
          <w:p>
            <w:pPr>
              <w:pStyle w:val="TableContents"/>
              <w:bidi w:val="0"/>
              <w:spacing w:lineRule="auto" w:line="268" w:before="0" w:after="0"/>
              <w:ind w:left="0" w:right="0" w:firstLine="35"/>
              <w:jc w:val="left"/>
              <w:rPr>
                <w:rFonts w:ascii="Times New Roman;sans-serif" w:hAnsi="Times New Roman;sans-serif"/>
                <w:b w:val="false"/>
                <w:color w:val="000000"/>
                <w:sz w:val="18"/>
              </w:rPr>
            </w:pPr>
            <w:r>
              <w:rPr>
                <w:rFonts w:ascii="Times New Roman;sans-serif" w:hAnsi="Times New Roman;sans-serif"/>
                <w:b w:val="false"/>
                <w:color w:val="000000"/>
                <w:sz w:val="18"/>
              </w:rPr>
              <w:t>Expires: August 31, 2027 Estimated average burden</w:t>
            </w:r>
          </w:p>
          <w:p>
            <w:pPr>
              <w:pStyle w:val="TableContents"/>
              <w:bidi w:val="0"/>
              <w:spacing w:lineRule="auto" w:line="228" w:before="0" w:after="0"/>
              <w:ind w:left="0" w:right="0" w:firstLine="35"/>
              <w:jc w:val="left"/>
              <w:rPr>
                <w:rFonts w:ascii="Times New Roman;sans-serif" w:hAnsi="Times New Roman;sans-serif"/>
                <w:b w:val="false"/>
                <w:color w:val="000000"/>
                <w:sz w:val="18"/>
              </w:rPr>
            </w:pPr>
            <w:r>
              <w:rPr>
                <w:rFonts w:ascii="Times New Roman;sans-serif" w:hAnsi="Times New Roman;sans-serif"/>
                <w:b w:val="false"/>
                <w:color w:val="000000"/>
                <w:sz w:val="18"/>
              </w:rPr>
              <w:t>hours per response........ 1.50</w:t>
            </w:r>
          </w:p>
        </w:tc>
      </w:tr>
    </w:tbl>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UNITED STATES </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475"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 C. 20549 </w:t>
      </w:r>
    </w:p>
    <w:p>
      <w:pPr>
        <w:pStyle w:val="TextBody"/>
        <w:bidi w:val="0"/>
        <w:spacing w:lineRule="auto" w:line="475" w:before="0" w:after="0"/>
        <w:jc w:val="center"/>
        <w:rPr>
          <w:rFonts w:ascii="Times New Roman;sans-serif" w:hAnsi="Times New Roman;sans-serif"/>
          <w:b/>
          <w:color w:val="000000"/>
          <w:sz w:val="24"/>
        </w:rPr>
      </w:pPr>
      <w:r>
        <w:rPr>
          <w:rFonts w:ascii="Times New Roman;sans-serif" w:hAnsi="Times New Roman;sans-serif"/>
          <w:b/>
          <w:color w:val="000000"/>
          <w:sz w:val="24"/>
        </w:rPr>
        <w:t>FORM 15</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CERTIFICATION AND NOTICE OF TERMINATION OF REGISTRATION UNDER SECTION 12(g) OF THE SECURITIES EXCHANGE ACT OF 1934 OR SUSPENSION OF DUTY TO FILE REPORTS UNDER SECTIONS 13 AND 15(d) OF THE SECURITIES EXCHANGE ACT OF 1934.</w:t>
      </w:r>
    </w:p>
    <w:p>
      <w:pPr>
        <w:pStyle w:val="TextBody"/>
        <w:bidi w:val="0"/>
        <w:spacing w:before="0" w:after="0"/>
        <w:ind w:left="0" w:right="0" w:firstLine="1355"/>
        <w:jc w:val="center"/>
        <w:rPr/>
      </w:pPr>
      <w:r>
        <w:rPr/>
      </w:r>
    </w:p>
    <w:p>
      <w:pPr>
        <w:pStyle w:val="TextBody"/>
        <w:bidi w:val="0"/>
        <w:spacing w:lineRule="auto" w:line="268" w:before="0" w:after="0"/>
        <w:ind w:left="0" w:right="0" w:firstLine="1355"/>
        <w:jc w:val="right"/>
        <w:rPr/>
      </w:pPr>
      <w:r>
        <w:rPr>
          <w:rFonts w:ascii="Times New Roman;sans-serif" w:hAnsi="Times New Roman;sans-serif"/>
          <w:b w:val="false"/>
          <w:color w:val="000000"/>
          <w:sz w:val="24"/>
        </w:rPr>
        <w:t xml:space="preserve">Commission File Number </w:t>
      </w:r>
      <w:r>
        <w:rPr>
          <w:rFonts w:ascii="Times New Roman;sans-serif" w:hAnsi="Times New Roman;sans-serif"/>
          <w:b/>
          <w:color w:val="000000"/>
          <w:sz w:val="24"/>
          <w:u w:val="single"/>
        </w:rPr>
        <w:t xml:space="preserve">000-52008 </w:t>
      </w:r>
    </w:p>
    <w:p>
      <w:pPr>
        <w:pStyle w:val="TextBody"/>
        <w:bidi w:val="0"/>
        <w:spacing w:before="0" w:after="0"/>
        <w:ind w:left="0" w:right="0" w:firstLine="1355"/>
        <w:jc w:val="right"/>
        <w:rPr/>
      </w:pPr>
      <w:r>
        <w:rPr/>
      </w:r>
    </w:p>
    <w:p>
      <w:pPr>
        <w:pStyle w:val="TextBody"/>
        <w:bidi w:val="0"/>
        <w:spacing w:lineRule="auto" w:line="276" w:before="0" w:after="0"/>
        <w:jc w:val="center"/>
        <w:rPr/>
      </w:pPr>
      <w:r>
        <w:rPr>
          <w:rFonts w:ascii="Times New Roman;sans-serif" w:hAnsi="Times New Roman;sans-serif"/>
          <w:b/>
          <w:color w:val="000000"/>
          <w:sz w:val="22"/>
        </w:rPr>
        <w:t>Luna</w:t>
      </w:r>
      <w:r>
        <w:rPr>
          <w:color w:val="000000"/>
        </w:rPr>
        <w:t xml:space="preserve"> </w:t>
      </w:r>
      <w:r>
        <w:rPr>
          <w:rFonts w:ascii="Times New Roman;sans-serif" w:hAnsi="Times New Roman;sans-serif"/>
          <w:b/>
          <w:color w:val="000000"/>
          <w:sz w:val="22"/>
        </w:rPr>
        <w:t>Innovations</w:t>
      </w:r>
      <w:r>
        <w:rPr>
          <w:color w:val="000000"/>
        </w:rPr>
        <w:t xml:space="preserve"> </w:t>
      </w:r>
      <w:r>
        <w:rPr>
          <w:rFonts w:ascii="Times New Roman;sans-serif" w:hAnsi="Times New Roman;sans-serif"/>
          <w:b/>
          <w:color w:val="000000"/>
          <w:sz w:val="24"/>
        </w:rPr>
        <w:t>Incorporated</w:t>
      </w:r>
    </w:p>
    <w:p>
      <w:pPr>
        <w:pStyle w:val="TextBody"/>
        <w:bidi w:val="0"/>
        <w:spacing w:before="0" w:after="0"/>
        <w:jc w:val="center"/>
        <w:rPr/>
      </w:pPr>
      <w:r>
        <w:rPr/>
        <w:drawing>
          <wp:inline distT="0" distB="0" distL="0" distR="0">
            <wp:extent cx="5943600" cy="146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14605"/>
                    </a:xfrm>
                    <a:prstGeom prst="rect">
                      <a:avLst/>
                    </a:prstGeom>
                  </pic:spPr>
                </pic:pic>
              </a:graphicData>
            </a:graphic>
          </wp:inline>
        </w:drawing>
      </w:r>
    </w:p>
    <w:p>
      <w:pPr>
        <w:pStyle w:val="TextBody"/>
        <w:bidi w:val="0"/>
        <w:spacing w:lineRule="auto" w:line="25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(Exact name of Issuer as specified in its charter)</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301 1st SW, Suite 200, Roanoke, VA 24011, (540) 796-8400</w:t>
      </w:r>
    </w:p>
    <w:p>
      <w:pPr>
        <w:pStyle w:val="TextBody"/>
        <w:bidi w:val="0"/>
        <w:spacing w:before="0" w:after="0"/>
        <w:jc w:val="center"/>
        <w:rPr/>
      </w:pPr>
      <w:r>
        <w:rPr/>
        <w:drawing>
          <wp:inline distT="0" distB="0" distL="0" distR="0">
            <wp:extent cx="5943600" cy="146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14605"/>
                    </a:xfrm>
                    <a:prstGeom prst="rect">
                      <a:avLst/>
                    </a:prstGeom>
                  </pic:spPr>
                </pic:pic>
              </a:graphicData>
            </a:graphic>
          </wp:inline>
        </w:drawing>
      </w:r>
    </w:p>
    <w:p>
      <w:pPr>
        <w:pStyle w:val="TextBody"/>
        <w:bidi w:val="0"/>
        <w:spacing w:lineRule="auto" w:line="25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(Address, including zip code, and telephone number, including area code, of registrant's principal executive offices)</w:t>
      </w:r>
    </w:p>
    <w:p>
      <w:pPr>
        <w:pStyle w:val="TextBody"/>
        <w:bidi w:val="0"/>
        <w:spacing w:before="0" w:after="0"/>
        <w:jc w:val="left"/>
        <w:rPr/>
      </w:pPr>
      <w:r>
        <w:rPr/>
      </w:r>
    </w:p>
    <w:p>
      <w:pPr>
        <w:pStyle w:val="TextBody"/>
        <w:bidi w:val="0"/>
        <w:spacing w:lineRule="auto" w:line="276" w:before="0" w:after="0"/>
        <w:jc w:val="center"/>
        <w:rPr/>
      </w:pPr>
      <w:r>
        <w:rPr>
          <w:rFonts w:ascii="Times New Roman;sans-serif" w:hAnsi="Times New Roman;sans-serif"/>
          <w:b/>
          <w:color w:val="000000"/>
          <w:sz w:val="22"/>
        </w:rPr>
        <w:t>Common</w:t>
      </w:r>
      <w:r>
        <w:rPr>
          <w:color w:val="000000"/>
        </w:rPr>
        <w:t xml:space="preserve"> </w:t>
      </w:r>
      <w:r>
        <w:rPr>
          <w:rFonts w:ascii="Times New Roman;sans-serif" w:hAnsi="Times New Roman;sans-serif"/>
          <w:b/>
          <w:color w:val="000000"/>
          <w:sz w:val="24"/>
        </w:rPr>
        <w:t>Shares</w:t>
      </w:r>
    </w:p>
    <w:p>
      <w:pPr>
        <w:pStyle w:val="TextBody"/>
        <w:bidi w:val="0"/>
        <w:spacing w:before="0" w:after="0"/>
        <w:jc w:val="center"/>
        <w:rPr/>
      </w:pPr>
      <w:r>
        <w:rPr/>
        <w:drawing>
          <wp:inline distT="0" distB="0" distL="0" distR="0">
            <wp:extent cx="5943600" cy="146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14605"/>
                    </a:xfrm>
                    <a:prstGeom prst="rect">
                      <a:avLst/>
                    </a:prstGeom>
                  </pic:spPr>
                </pic:pic>
              </a:graphicData>
            </a:graphic>
          </wp:inline>
        </w:drawing>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(Title of each class of securities covered by this Form)</w:t>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None</w:t>
      </w:r>
    </w:p>
    <w:p>
      <w:pPr>
        <w:pStyle w:val="TextBody"/>
        <w:bidi w:val="0"/>
        <w:spacing w:before="0" w:after="0"/>
        <w:jc w:val="center"/>
        <w:rPr/>
      </w:pPr>
      <w:r>
        <w:rPr/>
        <w:drawing>
          <wp:inline distT="0" distB="0" distL="0" distR="0">
            <wp:extent cx="5943600" cy="146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14605"/>
                    </a:xfrm>
                    <a:prstGeom prst="rect">
                      <a:avLst/>
                    </a:prstGeom>
                  </pic:spPr>
                </pic:pic>
              </a:graphicData>
            </a:graphic>
          </wp:inline>
        </w:drawing>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(Title of all other classes of securities for which a duty to file reports under section 13(a) or 15(d) remains)</w:t>
      </w:r>
    </w:p>
    <w:p>
      <w:pPr>
        <w:pStyle w:val="TextBody"/>
        <w:bidi w:val="0"/>
        <w:spacing w:before="0" w:after="0"/>
        <w:jc w:val="center"/>
        <w:rPr/>
      </w:pPr>
      <w:r>
        <w:rPr/>
      </w:r>
    </w:p>
    <w:p>
      <w:pPr>
        <w:pStyle w:val="TextBody"/>
        <w:bidi w:val="0"/>
        <w:spacing w:lineRule="auto" w:line="26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Please place an X in the box(es) to designate the appropriate rule provision(s) relied upon to terminate or suspend the duty to file reports:</w:t>
      </w:r>
    </w:p>
    <w:tbl>
      <w:tblPr>
        <w:tblW w:w="2424" w:type="dxa"/>
        <w:jc w:val="left"/>
        <w:tblInd w:w="0" w:type="dxa"/>
        <w:tblLayout w:type="fixed"/>
        <w:tblCellMar>
          <w:top w:w="28" w:type="dxa"/>
          <w:left w:w="28" w:type="dxa"/>
          <w:bottom w:w="28" w:type="dxa"/>
          <w:right w:w="28" w:type="dxa"/>
        </w:tblCellMar>
      </w:tblPr>
      <w:tblGrid>
        <w:gridCol w:w="124"/>
        <w:gridCol w:w="109"/>
        <w:gridCol w:w="109"/>
        <w:gridCol w:w="569"/>
        <w:gridCol w:w="569"/>
        <w:gridCol w:w="5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12g-4(a)(1)</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12g-4(a)(2)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12h-3(b)(1)(i)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12h-3(b)(1)(ii)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15d-6</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15d-22(b)</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2"/>
        </w:rPr>
        <w:t xml:space="preserve">Approximate number of holders of record as the certification or notice date: </w:t>
      </w:r>
      <w:r>
        <w:rPr>
          <w:rFonts w:ascii="Times New Roman;sans-serif" w:hAnsi="Times New Roman;sans-serif"/>
          <w:b w:val="false"/>
          <w:color w:val="000000"/>
          <w:sz w:val="22"/>
          <w:u w:val="single"/>
        </w:rPr>
        <w:t xml:space="preserve">186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Exchange Act of 1934 (Name of registrant as specified in charter) has caused this certification/notice to be signed on its behalf by the undersigned duly authorized person.</w:t>
      </w:r>
    </w:p>
    <w:p>
      <w:pPr>
        <w:pStyle w:val="TextBody"/>
        <w:bidi w:val="0"/>
        <w:spacing w:before="0" w:after="0"/>
        <w:jc w:val="left"/>
        <w:rPr/>
      </w:pPr>
      <w:r>
        <w:rPr/>
      </w:r>
    </w:p>
    <w:tbl>
      <w:tblPr>
        <w:tblW w:w="4656"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529"/>
        <w:gridCol w:w="529"/>
        <w:gridCol w:w="531"/>
        <w:gridCol w:w="134"/>
        <w:gridCol w:w="134"/>
        <w:gridCol w:w="136"/>
        <w:gridCol w:w="109"/>
        <w:gridCol w:w="109"/>
        <w:gridCol w:w="109"/>
        <w:gridCol w:w="426"/>
        <w:gridCol w:w="426"/>
        <w:gridCol w:w="60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Ryan H. Stewart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2"/>
        </w:rPr>
        <w:t>SEC 2069 (08-11)</w:t>
      </w:r>
      <w:r>
        <w:rPr>
          <w:color w:val="000000"/>
        </w:rPr>
        <w:t xml:space="preserve"> </w:t>
      </w:r>
      <w:r>
        <w:rPr>
          <w:rFonts w:ascii="Times New Roman;sans-serif" w:hAnsi="Times New Roman;sans-serif"/>
          <w:b w:val="false"/>
          <w:color w:val="000000"/>
          <w:sz w:val="22"/>
        </w:rPr>
        <w:t>Potential</w:t>
      </w:r>
      <w:r>
        <w:rPr>
          <w:color w:val="000000"/>
        </w:rPr>
        <w:t xml:space="preserve"> </w:t>
      </w:r>
      <w:r>
        <w:rPr>
          <w:rFonts w:ascii="Times New Roman;sans-serif" w:hAnsi="Times New Roman;sans-serif"/>
          <w:b w:val="false"/>
          <w:color w:val="000000"/>
          <w:sz w:val="22"/>
        </w:rPr>
        <w:t>persons</w:t>
      </w:r>
      <w:r>
        <w:rPr>
          <w:color w:val="000000"/>
        </w:rPr>
        <w:t xml:space="preserve"> </w:t>
      </w:r>
      <w:r>
        <w:rPr>
          <w:rFonts w:ascii="Times New Roman;sans-serif" w:hAnsi="Times New Roman;sans-serif"/>
          <w:b w:val="false"/>
          <w:color w:val="000000"/>
          <w:sz w:val="22"/>
        </w:rPr>
        <w:t>who</w:t>
      </w:r>
      <w:r>
        <w:rPr>
          <w:color w:val="000000"/>
        </w:rPr>
        <w:t xml:space="preserve"> </w:t>
      </w:r>
      <w:r>
        <w:rPr>
          <w:rFonts w:ascii="Times New Roman;sans-serif" w:hAnsi="Times New Roman;sans-serif"/>
          <w:b w:val="false"/>
          <w:color w:val="000000"/>
          <w:sz w:val="22"/>
        </w:rPr>
        <w:t>are</w:t>
      </w:r>
      <w:r>
        <w:rPr>
          <w:color w:val="000000"/>
        </w:rPr>
        <w:t xml:space="preserve"> </w:t>
      </w:r>
      <w:r>
        <w:rPr>
          <w:rFonts w:ascii="Times New Roman;sans-serif" w:hAnsi="Times New Roman;sans-serif"/>
          <w:b w:val="false"/>
          <w:color w:val="000000"/>
          <w:sz w:val="22"/>
        </w:rPr>
        <w:t>to</w:t>
      </w:r>
      <w:r>
        <w:rPr>
          <w:color w:val="000000"/>
        </w:rPr>
        <w:t xml:space="preserve"> </w:t>
      </w:r>
      <w:r>
        <w:rPr>
          <w:rFonts w:ascii="Times New Roman;sans-serif" w:hAnsi="Times New Roman;sans-serif"/>
          <w:b w:val="false"/>
          <w:color w:val="000000"/>
          <w:sz w:val="22"/>
        </w:rPr>
        <w:t>respond</w:t>
      </w:r>
      <w:r>
        <w:rPr>
          <w:color w:val="000000"/>
        </w:rPr>
        <w:t xml:space="preserve"> </w:t>
      </w:r>
      <w:r>
        <w:rPr>
          <w:rFonts w:ascii="Times New Roman;sans-serif" w:hAnsi="Times New Roman;sans-serif"/>
          <w:b w:val="false"/>
          <w:color w:val="000000"/>
          <w:sz w:val="22"/>
        </w:rPr>
        <w:t>to</w:t>
      </w:r>
      <w:r>
        <w:rPr>
          <w:color w:val="000000"/>
        </w:rPr>
        <w:t xml:space="preserve"> </w:t>
      </w:r>
      <w:r>
        <w:rPr>
          <w:rFonts w:ascii="Times New Roman;sans-serif" w:hAnsi="Times New Roman;sans-serif"/>
          <w:b w:val="false"/>
          <w:color w:val="000000"/>
          <w:sz w:val="22"/>
        </w:rPr>
        <w:t>the</w:t>
      </w:r>
      <w:r>
        <w:rPr>
          <w:color w:val="000000"/>
        </w:rPr>
        <w:t xml:space="preserve"> </w:t>
      </w:r>
      <w:r>
        <w:rPr>
          <w:rFonts w:ascii="Times New Roman;sans-serif" w:hAnsi="Times New Roman;sans-serif"/>
          <w:b w:val="false"/>
          <w:color w:val="000000"/>
          <w:sz w:val="22"/>
        </w:rPr>
        <w:t>collection</w:t>
      </w:r>
      <w:r>
        <w:rPr>
          <w:color w:val="000000"/>
        </w:rPr>
        <w:t xml:space="preserve"> </w:t>
      </w:r>
      <w:r>
        <w:rPr>
          <w:rFonts w:ascii="Times New Roman;sans-serif" w:hAnsi="Times New Roman;sans-serif"/>
          <w:b w:val="false"/>
          <w:color w:val="000000"/>
          <w:sz w:val="22"/>
        </w:rPr>
        <w:t>of</w:t>
      </w:r>
      <w:r>
        <w:rPr>
          <w:color w:val="000000"/>
        </w:rPr>
        <w:t xml:space="preserve"> </w:t>
      </w:r>
      <w:r>
        <w:rPr>
          <w:rFonts w:ascii="Times New Roman;sans-serif" w:hAnsi="Times New Roman;sans-serif"/>
          <w:b w:val="false"/>
          <w:color w:val="000000"/>
          <w:sz w:val="22"/>
        </w:rPr>
        <w:t>information</w:t>
      </w:r>
      <w:r>
        <w:rPr>
          <w:color w:val="000000"/>
        </w:rPr>
        <w:t xml:space="preserve"> </w:t>
      </w:r>
      <w:r>
        <w:rPr>
          <w:rFonts w:ascii="Times New Roman;sans-serif" w:hAnsi="Times New Roman;sans-serif"/>
          <w:b w:val="false"/>
          <w:color w:val="000000"/>
          <w:sz w:val="22"/>
        </w:rPr>
        <w:t>contained</w:t>
      </w:r>
    </w:p>
    <w:p>
      <w:pPr>
        <w:pStyle w:val="TextBody"/>
        <w:bidi w:val="0"/>
        <w:spacing w:lineRule="auto" w:line="26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this Form are not required to respond unless the Form displays a currently </w:t>
      </w:r>
    </w:p>
    <w:p>
      <w:pPr>
        <w:pStyle w:val="TextBody"/>
        <w:bidi w:val="0"/>
        <w:spacing w:lineRule="auto" w:line="26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valid OMB control number.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jc w:val="left"/>
        <w:rPr>
          <w:rFonts w:ascii="Times New Roman;sans-serif" w:hAnsi="Times New Roman;sans-serif"/>
          <w:b w:val="false"/>
          <w:color w:val="000000"/>
          <w:sz w:val="24"/>
        </w:rPr>
      </w:pPr>
      <w:r>
        <w:rPr>
          <w:rFonts w:ascii="Times New Roman;sans-serif" w:hAnsi="Times New Roman;sans-serif"/>
          <w:b w:val="false"/>
          <w:color w:val="000000"/>
          <w:sz w:val="24"/>
        </w:rPr>
        <w:t>Instruction: This form is required by Rules 12g-4, 12h-3, 15d-6 and 15d-22 of the General Rules and Regulations under the Securities Exchange Act of 1934. The registrant shall file with the Commission three copies of Form 15, one of which shall be manually signed. It may be signed by an officer of the registrant, by counsel or by any other duly authorized person. The name and title of the person signing the form shall be typed or printed under the signature.</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345</Words>
  <Characters>1808</Characters>
  <CharactersWithSpaces>2121</CharactersWithSpaces>
  <Paragraphs>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